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8.采购需求</w:t>
      </w:r>
    </w:p>
    <w:tbl>
      <w:tblPr>
        <w:tblStyle w:val="7"/>
        <w:tblpPr w:leftFromText="180" w:rightFromText="180" w:vertAnchor="text" w:horzAnchor="page" w:tblpX="1680" w:tblpY="435"/>
        <w:tblOverlap w:val="never"/>
        <w:tblW w:w="9742" w:type="dxa"/>
        <w:tblInd w:w="0" w:type="dxa"/>
        <w:tblLayout w:type="autofit"/>
        <w:tblCellMar>
          <w:top w:w="0" w:type="dxa"/>
          <w:left w:w="108" w:type="dxa"/>
          <w:bottom w:w="0" w:type="dxa"/>
          <w:right w:w="108" w:type="dxa"/>
        </w:tblCellMar>
      </w:tblPr>
      <w:tblGrid>
        <w:gridCol w:w="1060"/>
        <w:gridCol w:w="169"/>
        <w:gridCol w:w="7322"/>
        <w:gridCol w:w="1191"/>
      </w:tblGrid>
      <w:tr w14:paraId="6E8C5FB0">
        <w:tblPrEx>
          <w:tblCellMar>
            <w:top w:w="0" w:type="dxa"/>
            <w:left w:w="108" w:type="dxa"/>
            <w:bottom w:w="0" w:type="dxa"/>
            <w:right w:w="108" w:type="dxa"/>
          </w:tblCellMar>
        </w:tblPrEx>
        <w:trPr>
          <w:trHeight w:val="492" w:hRule="atLeast"/>
        </w:trPr>
        <w:tc>
          <w:tcPr>
            <w:tcW w:w="9742"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color w:val="auto"/>
                <w:kern w:val="0"/>
                <w:szCs w:val="21"/>
              </w:rPr>
            </w:pPr>
            <w:r>
              <w:rPr>
                <w:rFonts w:hint="eastAsia" w:ascii="宋体" w:hAnsi="宋体" w:cs="宋体"/>
                <w:b/>
                <w:bCs/>
                <w:color w:val="auto"/>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color w:val="auto"/>
                <w:kern w:val="0"/>
                <w:szCs w:val="21"/>
              </w:rPr>
            </w:pPr>
            <w:r>
              <w:rPr>
                <w:rFonts w:ascii="宋体" w:hAnsi="宋体" w:cs="宋体"/>
                <w:b/>
                <w:bCs/>
                <w:color w:val="auto"/>
                <w:kern w:val="0"/>
                <w:szCs w:val="21"/>
              </w:rPr>
              <w:t>名称</w:t>
            </w:r>
          </w:p>
        </w:tc>
        <w:tc>
          <w:tcPr>
            <w:tcW w:w="7491"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rPr>
              <w:t>详细技术及配置要求，实质性要求，必须满足的条款标注</w:t>
            </w:r>
            <w:r>
              <w:rPr>
                <w:rFonts w:hint="eastAsia" w:ascii="宋体" w:hAnsi="宋体" w:cs="宋体"/>
                <w:color w:val="auto"/>
                <w:szCs w:val="21"/>
              </w:rPr>
              <w:t>★</w:t>
            </w:r>
          </w:p>
        </w:tc>
        <w:tc>
          <w:tcPr>
            <w:tcW w:w="1191"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color w:val="auto"/>
                <w:kern w:val="0"/>
                <w:szCs w:val="21"/>
              </w:rPr>
            </w:pPr>
            <w:r>
              <w:rPr>
                <w:rFonts w:hint="eastAsia" w:ascii="宋体" w:hAnsi="宋体" w:cs="宋体"/>
                <w:b/>
                <w:bCs/>
                <w:color w:val="auto"/>
                <w:kern w:val="0"/>
                <w:szCs w:val="21"/>
              </w:rPr>
              <w:t>数量</w:t>
            </w:r>
          </w:p>
        </w:tc>
      </w:tr>
      <w:tr w14:paraId="58FCA46D">
        <w:tblPrEx>
          <w:tblCellMar>
            <w:top w:w="0" w:type="dxa"/>
            <w:left w:w="108" w:type="dxa"/>
            <w:bottom w:w="0" w:type="dxa"/>
            <w:right w:w="108" w:type="dxa"/>
          </w:tblCellMar>
        </w:tblPrEx>
        <w:trPr>
          <w:trHeight w:val="981"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5EDDDC">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便携式彩色多普勒超声</w:t>
            </w:r>
          </w:p>
        </w:tc>
        <w:tc>
          <w:tcPr>
            <w:tcW w:w="7491" w:type="dxa"/>
            <w:gridSpan w:val="2"/>
            <w:tcBorders>
              <w:top w:val="single" w:color="auto" w:sz="4" w:space="0"/>
              <w:left w:val="nil"/>
              <w:bottom w:val="single" w:color="auto" w:sz="4" w:space="0"/>
              <w:right w:val="single" w:color="auto" w:sz="4" w:space="0"/>
            </w:tcBorders>
            <w:shd w:val="clear" w:color="auto" w:fill="FFFFFF"/>
            <w:noWrap w:val="0"/>
            <w:vAlign w:val="center"/>
          </w:tcPr>
          <w:p w14:paraId="6E2BDF6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1.用途说明：</w:t>
            </w:r>
          </w:p>
          <w:p w14:paraId="4008A21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1.1.腹部、神经、小器官、浅表、妇科、产科、儿科、心脏、血管、泌尿、急诊、介入其他等全身应用</w:t>
            </w:r>
          </w:p>
          <w:p w14:paraId="495E654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2.系统技术规格及概述：</w:t>
            </w:r>
          </w:p>
          <w:p w14:paraId="1F44DBA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2.1.≥15寸无缝纯平投射式电容屏</w:t>
            </w:r>
          </w:p>
          <w:p w14:paraId="0477F76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★2.2.机器内置≥3个可激活探头接口</w:t>
            </w:r>
          </w:p>
          <w:p w14:paraId="0D63E1B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★2.3.≥4个USB 3.0接口</w:t>
            </w:r>
          </w:p>
          <w:p w14:paraId="4BF05BF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2.4.主机重量≤7.5Kg</w:t>
            </w:r>
          </w:p>
          <w:p w14:paraId="44359AD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2.5.数字波束增强器</w:t>
            </w:r>
          </w:p>
          <w:p w14:paraId="5B26EDE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2.6.多倍波束合成</w:t>
            </w:r>
          </w:p>
          <w:p w14:paraId="2C26F23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2.7.二维灰阶模式</w:t>
            </w:r>
          </w:p>
          <w:p w14:paraId="71F76FF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2.8.组织谐波成像模式</w:t>
            </w:r>
          </w:p>
          <w:p w14:paraId="010FE56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2.9.宽带频移谐波</w:t>
            </w:r>
          </w:p>
          <w:p w14:paraId="012B58A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2.10.组织特异性成像、频率复合成像、空间复合成像、斑点抑制成像</w:t>
            </w:r>
          </w:p>
          <w:p w14:paraId="554CCE4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2.11.彩色多普勒成像（包括彩色、能量多普勒模式）、频谱多普勒成像：脉冲多普勒、组织多普勒成像</w:t>
            </w:r>
          </w:p>
          <w:p w14:paraId="2260015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2.12.M型模式</w:t>
            </w:r>
          </w:p>
          <w:p w14:paraId="0B3E560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2.13.独立角度偏转</w:t>
            </w:r>
          </w:p>
          <w:p w14:paraId="3863128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2.14.扩展成像、实时双幅对比成像</w:t>
            </w:r>
          </w:p>
          <w:p w14:paraId="2D5BE54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2.15.一键自动优化（包括应用于二维、彩色及频谱模式，彩色多普勒自动识别，包括ROI框位置、角度自动改变）</w:t>
            </w:r>
          </w:p>
          <w:p w14:paraId="0E003F9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2.16.全屏放大、局部放大（支持前端、后端放大）</w:t>
            </w:r>
          </w:p>
          <w:p w14:paraId="4BDA385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★2.17.具备回波增强技术</w:t>
            </w:r>
          </w:p>
          <w:p w14:paraId="4633D64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2.18.智能血流跟踪（自动随探头移动，取样框自动角度偏转、自动跟踪血流显示情况，无需手动调节）</w:t>
            </w:r>
          </w:p>
          <w:p w14:paraId="52AE72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2.19.腹部、心脏、血管、小器官，神经测量软件包</w:t>
            </w:r>
          </w:p>
          <w:p w14:paraId="0797A57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2.20.图像后处理，可处理参数≥26种</w:t>
            </w:r>
          </w:p>
          <w:p w14:paraId="4333C80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2.21.支持手动触摸屏上注释、支持手动触摸屏上包络测量、支持手势操作（图像调整、测量和注释、图像浏览）</w:t>
            </w:r>
          </w:p>
          <w:p w14:paraId="36432D3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★2.22.具备磁影技术单元，基于磁场感应技术，通过提示探头与穿刺针空间位置关系的俯视投影图、磁场信号强度、带刻度标尺的引导延长线等图标，能够实时引导、提示针体与针尖位置</w:t>
            </w:r>
          </w:p>
          <w:p w14:paraId="3EFC0DF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★2.23.具备穿刺针增强技术，可跟随进针角度随时改变声束偏转角度，支持双屏实时对比显示增强前后效果，支持线阵和凸阵探头</w:t>
            </w:r>
          </w:p>
          <w:p w14:paraId="369BBEA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2.24.内含≥138种体位图</w:t>
            </w:r>
          </w:p>
          <w:p w14:paraId="683C1152">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2.25.可支持DICOM 3.0网络传输协议</w:t>
            </w:r>
          </w:p>
          <w:p w14:paraId="765D405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2.26.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p>
          <w:p w14:paraId="6060AAA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2.27.支持多国语言，英语,中文等等,（包括键盘输入、注释、操作面板等）</w:t>
            </w:r>
          </w:p>
          <w:p w14:paraId="184F6BF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2.28.内置超声教学软件，解剖图谱，标准的超声图像，扫查位置参考图，以及扫查技巧图文解析，覆盖神经、腹部、甲状腺、乳腺、睾丸和妇产等应用，为用户提供在线指导</w:t>
            </w:r>
          </w:p>
          <w:p w14:paraId="195C58E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2.29.探头内置记忆芯片，可自动记录设备序列号等信息，自动写入病例，便于设备管理与追溯</w:t>
            </w:r>
          </w:p>
          <w:p w14:paraId="29CA243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3.测量/分析和报告</w:t>
            </w:r>
          </w:p>
          <w:p w14:paraId="3665CAE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3.1.常规测量</w:t>
            </w:r>
          </w:p>
          <w:p w14:paraId="5516749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距离测量、椭圆及描迹测量面积周长、体积测量</w:t>
            </w:r>
          </w:p>
          <w:p w14:paraId="2BEE082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3.2.多普勒测量（自动或手动包络测量，自动计算测量参数）</w:t>
            </w:r>
          </w:p>
          <w:p w14:paraId="14FC01A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神经、腹部、小器官、血管</w:t>
            </w:r>
          </w:p>
          <w:p w14:paraId="220E7D6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4.电影回放和原始数据处理</w:t>
            </w:r>
          </w:p>
          <w:p w14:paraId="2D8C40E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4.1.所有模式下可用</w:t>
            </w:r>
          </w:p>
          <w:p w14:paraId="3219E4C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4.2.支持手动、自动回放</w:t>
            </w:r>
          </w:p>
          <w:p w14:paraId="7445C15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4.3.支持向后存储和向前存储，时间长度可预置(向后：最大时间≥380s；向前：≥115s)</w:t>
            </w:r>
          </w:p>
          <w:p w14:paraId="0D4B68B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4.4.图像后处理，可对回放图像进行参数调节，可处理参数B模式包括但不限于6种、M模式包括但不限于5种、彩色模式包括但不限于5种、PW模式包括但不限于8种。</w:t>
            </w:r>
          </w:p>
          <w:p w14:paraId="16E2D36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4.5.支持同步存储(支持单帧图像文件包含： DCM、TIFF、BMP、JEPG单帧，电影文件包括： AVI)，即后台存储或导出图像数据的同时前台可以完成扫描。直接一键存储至硬盘，突然关机或未结束检查关机资料不丢失</w:t>
            </w:r>
          </w:p>
          <w:p w14:paraId="20DB6C58">
            <w:pPr>
              <w:adjustRightInd w:val="0"/>
              <w:snapToGrid w:val="0"/>
              <w:spacing w:line="360" w:lineRule="exact"/>
              <w:jc w:val="left"/>
              <w:rPr>
                <w:rFonts w:hint="eastAsia" w:ascii="宋体" w:hAnsi="宋体" w:eastAsia="宋体" w:cs="Times New Roman"/>
                <w:szCs w:val="21"/>
                <w:lang w:val="en-US" w:eastAsia="zh-CN"/>
              </w:rPr>
            </w:pPr>
          </w:p>
          <w:p w14:paraId="4306B14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5.检查存储和管理（内置超声工作站）</w:t>
            </w:r>
          </w:p>
          <w:p w14:paraId="497A8A0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5.1.检查存储</w:t>
            </w:r>
          </w:p>
          <w:p w14:paraId="7108F6F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5.1.1.≥120GB SSD硬盘、内置超声工作站</w:t>
            </w:r>
          </w:p>
          <w:p w14:paraId="725E14B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5.1.2.多种导出图像格式：动态图像、静态图像以PC格式直接导出，无需特殊软件即能在普通PC 机上直接观看图像。导出、备份图像数据资料同时，可进行检查，不影响检查操作</w:t>
            </w:r>
          </w:p>
          <w:p w14:paraId="1B7A8421">
            <w:pPr>
              <w:adjustRightInd w:val="0"/>
              <w:snapToGrid w:val="0"/>
              <w:spacing w:line="360" w:lineRule="exact"/>
              <w:jc w:val="left"/>
              <w:rPr>
                <w:rFonts w:hint="eastAsia" w:ascii="宋体" w:hAnsi="宋体" w:eastAsia="宋体" w:cs="Times New Roman"/>
                <w:szCs w:val="21"/>
                <w:lang w:val="en-US" w:eastAsia="zh-CN"/>
              </w:rPr>
            </w:pPr>
          </w:p>
          <w:p w14:paraId="20C3C65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6.连通性要求</w:t>
            </w:r>
          </w:p>
          <w:p w14:paraId="5347EC7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6.1.支持有线或无线网络连接</w:t>
            </w:r>
          </w:p>
          <w:p w14:paraId="4D97904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★6.2.支持移动设备无线传输，要求将机器超声图像通过无线网络直接发送到智能移动终端平台</w:t>
            </w:r>
          </w:p>
          <w:p w14:paraId="14EDF1A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6.3.iStorage网络存储</w:t>
            </w:r>
          </w:p>
          <w:p w14:paraId="7209535D">
            <w:pPr>
              <w:adjustRightInd w:val="0"/>
              <w:snapToGrid w:val="0"/>
              <w:spacing w:line="360" w:lineRule="exact"/>
              <w:jc w:val="left"/>
              <w:rPr>
                <w:rFonts w:hint="eastAsia" w:ascii="宋体" w:hAnsi="宋体" w:eastAsia="宋体" w:cs="Times New Roman"/>
                <w:szCs w:val="21"/>
                <w:lang w:val="en-US" w:eastAsia="zh-CN"/>
              </w:rPr>
            </w:pPr>
          </w:p>
          <w:p w14:paraId="28EA730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7.系统技术参数及要求</w:t>
            </w:r>
          </w:p>
          <w:p w14:paraId="7857088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7.1.二维灰阶模式</w:t>
            </w:r>
          </w:p>
          <w:p w14:paraId="289D501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7.1.1.具有数字化声束形成器</w:t>
            </w:r>
          </w:p>
          <w:p w14:paraId="5F1FF93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7.1.2.数字化全程动态聚焦，数字化可变孔径及动态变迹，A/D≥12 bit</w:t>
            </w:r>
          </w:p>
          <w:p w14:paraId="6832A3E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7.1.3.接收方式：发射、接收通道≥1024，多倍信号并行处理</w:t>
            </w:r>
          </w:p>
          <w:p w14:paraId="3C821A0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7.1.4.扫描线：每帧线密度≥512超声线</w:t>
            </w:r>
          </w:p>
          <w:p w14:paraId="01779C4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7.1.5.发射声束聚焦：发射≥7段</w:t>
            </w:r>
          </w:p>
          <w:p w14:paraId="338B18B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7.1.6.扫描频率：</w:t>
            </w:r>
          </w:p>
          <w:p w14:paraId="765FF99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7.1.6.1.电子凸阵：超声频率范围</w:t>
            </w:r>
            <w:r>
              <w:rPr>
                <w:rFonts w:hint="eastAsia" w:ascii="宋体" w:hAnsi="宋体" w:eastAsia="宋体" w:cs="Times New Roman"/>
                <w:szCs w:val="21"/>
                <w:lang w:val="en-US" w:eastAsia="zh-CN"/>
              </w:rPr>
              <w:tab/>
            </w:r>
            <w:r>
              <w:rPr>
                <w:rFonts w:hint="eastAsia" w:ascii="宋体" w:hAnsi="宋体" w:eastAsia="宋体" w:cs="Times New Roman"/>
                <w:szCs w:val="21"/>
                <w:lang w:val="en-US" w:eastAsia="zh-CN"/>
              </w:rPr>
              <w:t>1.0- 5.7 MHz</w:t>
            </w:r>
          </w:p>
          <w:p w14:paraId="04FC6AD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7.1.6.2.电子线阵：超声频率范围</w:t>
            </w:r>
            <w:r>
              <w:rPr>
                <w:rFonts w:hint="eastAsia" w:ascii="宋体" w:hAnsi="宋体" w:eastAsia="宋体" w:cs="Times New Roman"/>
                <w:szCs w:val="21"/>
                <w:lang w:val="en-US" w:eastAsia="zh-CN"/>
              </w:rPr>
              <w:tab/>
            </w:r>
            <w:r>
              <w:rPr>
                <w:rFonts w:hint="eastAsia" w:ascii="宋体" w:hAnsi="宋体" w:eastAsia="宋体" w:cs="Times New Roman"/>
                <w:szCs w:val="21"/>
                <w:lang w:val="en-US" w:eastAsia="zh-CN"/>
              </w:rPr>
              <w:t>2.5-20 .5MHz</w:t>
            </w:r>
          </w:p>
          <w:p w14:paraId="6E78B67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7.1.6..3预设条件：针对不同的检查脏器，预置最佳图像检查条件</w:t>
            </w:r>
          </w:p>
          <w:p w14:paraId="2205534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★7.1.7.最大显示深度:≥36cm</w:t>
            </w:r>
          </w:p>
          <w:p w14:paraId="7D6A056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7.1.8.最大帧率: ≥999 帧/秒</w:t>
            </w:r>
          </w:p>
          <w:p w14:paraId="002F784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7.1.9.TGC: ≥6段</w:t>
            </w:r>
          </w:p>
          <w:p w14:paraId="6B7393A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7.1.10.二维灰阶：≥250</w:t>
            </w:r>
          </w:p>
          <w:p w14:paraId="6909F8B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7.1.11.动态范围: ≥220</w:t>
            </w:r>
          </w:p>
          <w:p w14:paraId="2CA9227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7.1.12.增益调节: B/M/D分别独立可调，≥100</w:t>
            </w:r>
          </w:p>
          <w:p w14:paraId="14BDE98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7.1.13.伪彩图谱: ≥8种</w:t>
            </w:r>
          </w:p>
          <w:p w14:paraId="50ECB95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7.2.彩色多普勒成像</w:t>
            </w:r>
          </w:p>
          <w:p w14:paraId="138A16B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7.2.1.包括速度、速度方差、能量、方向能量显示等</w:t>
            </w:r>
          </w:p>
          <w:p w14:paraId="672F293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7.2.2.显示方式：B/C、B/C/M、B/POWER、B/C/PW</w:t>
            </w:r>
          </w:p>
          <w:p w14:paraId="4059C5E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7.2.3.取样框偏转: ≥±30度 (线阵探头)</w:t>
            </w:r>
          </w:p>
          <w:p w14:paraId="12E466B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7.2.4.最大帧率: ≥364 帧/秒</w:t>
            </w:r>
          </w:p>
          <w:p w14:paraId="2CF1FD7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7.2.5.支持B/C 同宽</w:t>
            </w:r>
          </w:p>
          <w:p w14:paraId="0B226653">
            <w:pPr>
              <w:adjustRightInd w:val="0"/>
              <w:snapToGrid w:val="0"/>
              <w:spacing w:line="360" w:lineRule="exact"/>
              <w:jc w:val="left"/>
              <w:rPr>
                <w:rFonts w:hint="eastAsia" w:ascii="宋体" w:hAnsi="宋体" w:eastAsia="宋体" w:cs="Times New Roman"/>
                <w:szCs w:val="21"/>
                <w:lang w:val="en-US" w:eastAsia="zh-CN"/>
              </w:rPr>
            </w:pPr>
          </w:p>
          <w:p w14:paraId="07B2804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8.探头规格 </w:t>
            </w:r>
          </w:p>
          <w:p w14:paraId="655120C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★8.1.探头配置：凸阵探头、按键线阵探头各一把</w:t>
            </w:r>
          </w:p>
          <w:p w14:paraId="1A2F39D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8.2.探头频率：</w:t>
            </w:r>
          </w:p>
          <w:p w14:paraId="18240E3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8.2.1.频率带宽1.3-16.2MHz</w:t>
            </w:r>
          </w:p>
          <w:p w14:paraId="15864F5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8.2.2.所有探头均为宽频变频探头,二维、谐波、彩色及频谱多普勒模式分别独立变频，≥3段</w:t>
            </w:r>
          </w:p>
          <w:p w14:paraId="146AE6F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8.2.3振元：最大有效振元数≥192振元</w:t>
            </w:r>
          </w:p>
          <w:p w14:paraId="1A60D5B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8.3.穿刺引导</w:t>
            </w:r>
          </w:p>
          <w:p w14:paraId="1FB7945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凸阵、线阵、具备多角度穿刺引导功能</w:t>
            </w:r>
          </w:p>
          <w:p w14:paraId="29B888A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8.4.凸阵探头频率范围: 1.0- 5.7 MHz，扩展后最大角度可达141°，</w:t>
            </w:r>
          </w:p>
          <w:p w14:paraId="236A612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8.5.线阵探头频率范围: </w:t>
            </w:r>
            <w:r>
              <w:rPr>
                <w:rFonts w:hint="eastAsia" w:ascii="宋体" w:hAnsi="宋体" w:eastAsia="宋体" w:cs="Times New Roman"/>
                <w:szCs w:val="21"/>
                <w:lang w:val="en-US" w:eastAsia="zh-CN"/>
              </w:rPr>
              <w:tab/>
            </w:r>
            <w:r>
              <w:rPr>
                <w:rFonts w:hint="eastAsia" w:ascii="宋体" w:hAnsi="宋体" w:eastAsia="宋体" w:cs="Times New Roman"/>
                <w:szCs w:val="21"/>
                <w:lang w:val="en-US" w:eastAsia="zh-CN"/>
              </w:rPr>
              <w:t xml:space="preserve">2.5-23 MHz，扩展后最大角度40° </w:t>
            </w:r>
          </w:p>
          <w:p w14:paraId="03FD977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8.6.B/M、彩色、能量多普勒、组织多普勒输出功率可选择分级调节</w:t>
            </w:r>
          </w:p>
          <w:p w14:paraId="32A9E474">
            <w:pPr>
              <w:adjustRightInd w:val="0"/>
              <w:snapToGrid w:val="0"/>
              <w:spacing w:line="360" w:lineRule="exact"/>
              <w:jc w:val="left"/>
              <w:rPr>
                <w:rFonts w:hint="eastAsia" w:ascii="宋体" w:hAnsi="宋体" w:eastAsia="宋体" w:cs="Times New Roman"/>
                <w:szCs w:val="21"/>
                <w:lang w:val="en-US" w:eastAsia="zh-CN"/>
              </w:rPr>
            </w:pPr>
          </w:p>
          <w:p w14:paraId="500EB93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9.外设和附件</w:t>
            </w:r>
          </w:p>
          <w:p w14:paraId="32FC01B8">
            <w:pPr>
              <w:adjustRightInd w:val="0"/>
              <w:snapToGrid w:val="0"/>
              <w:spacing w:line="360" w:lineRule="exact"/>
              <w:jc w:val="left"/>
              <w:rPr>
                <w:rFonts w:hint="eastAsia" w:ascii="宋体" w:hAnsi="宋体" w:eastAsia="宋体" w:cs="Times New Roman"/>
                <w:szCs w:val="21"/>
              </w:rPr>
            </w:pPr>
            <w:r>
              <w:rPr>
                <w:rFonts w:hint="eastAsia" w:ascii="宋体" w:hAnsi="宋体" w:eastAsia="宋体" w:cs="Times New Roman"/>
                <w:szCs w:val="21"/>
                <w:lang w:val="en-US" w:eastAsia="zh-CN"/>
              </w:rPr>
              <w:t>9.1.台车（包括：耦合剂杯套组、储物篮、打印机架、AC电源及电源线、辅助输出电源线、纸巾架）。</w:t>
            </w:r>
          </w:p>
        </w:tc>
        <w:tc>
          <w:tcPr>
            <w:tcW w:w="1191" w:type="dxa"/>
            <w:tcBorders>
              <w:top w:val="single" w:color="auto" w:sz="4" w:space="0"/>
              <w:left w:val="nil"/>
              <w:bottom w:val="single" w:color="auto" w:sz="4" w:space="0"/>
              <w:right w:val="single" w:color="auto" w:sz="4" w:space="0"/>
            </w:tcBorders>
            <w:noWrap w:val="0"/>
            <w:vAlign w:val="center"/>
          </w:tcPr>
          <w:p w14:paraId="0EAB2CC6">
            <w:pPr>
              <w:adjustRightInd w:val="0"/>
              <w:snapToGrid w:val="0"/>
              <w:spacing w:line="360" w:lineRule="exact"/>
              <w:jc w:val="center"/>
              <w:rPr>
                <w:rFonts w:ascii="仿宋" w:hAnsi="仿宋" w:eastAsia="仿宋" w:cs="Arial"/>
                <w:b/>
                <w:bCs/>
                <w:color w:val="000000"/>
                <w:kern w:val="0"/>
                <w:sz w:val="24"/>
              </w:rPr>
            </w:pPr>
            <w:r>
              <w:rPr>
                <w:rFonts w:hint="eastAsia" w:ascii="仿宋" w:hAnsi="仿宋" w:eastAsia="仿宋" w:cs="Arial"/>
                <w:b/>
                <w:bCs/>
                <w:color w:val="000000"/>
                <w:kern w:val="0"/>
                <w:sz w:val="24"/>
              </w:rPr>
              <w:t>1台</w:t>
            </w:r>
          </w:p>
        </w:tc>
      </w:tr>
      <w:tr w14:paraId="64347D00">
        <w:tblPrEx>
          <w:tblCellMar>
            <w:top w:w="0" w:type="dxa"/>
            <w:left w:w="108" w:type="dxa"/>
            <w:bottom w:w="0" w:type="dxa"/>
            <w:right w:w="108" w:type="dxa"/>
          </w:tblCellMar>
        </w:tblPrEx>
        <w:trPr>
          <w:trHeight w:val="428" w:hRule="atLeast"/>
        </w:trPr>
        <w:tc>
          <w:tcPr>
            <w:tcW w:w="9742"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8513"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eastAsia="宋体" w:cs="Times New Roman"/>
                <w:szCs w:val="21"/>
              </w:rPr>
            </w:pPr>
            <w:r>
              <w:rPr>
                <w:rFonts w:hint="eastAsia" w:ascii="宋体" w:hAnsi="宋体"/>
                <w:szCs w:val="21"/>
              </w:rPr>
              <w:t>1.免费</w:t>
            </w:r>
            <w:r>
              <w:rPr>
                <w:rFonts w:hint="eastAsia" w:ascii="宋体" w:hAnsi="宋体" w:eastAsia="宋体" w:cs="Times New Roman"/>
                <w:szCs w:val="21"/>
              </w:rPr>
              <w:t>保修期要求：按国家有关产品“三包”规定执行“三包”，免费保修期：</w:t>
            </w:r>
            <w:r>
              <w:rPr>
                <w:rFonts w:hint="eastAsia" w:ascii="宋体" w:hAnsi="宋体" w:cs="Times New Roman"/>
                <w:szCs w:val="21"/>
                <w:lang w:val="en-US" w:eastAsia="zh-CN"/>
              </w:rPr>
              <w:t>5</w:t>
            </w:r>
            <w:r>
              <w:rPr>
                <w:rFonts w:hint="eastAsia" w:ascii="宋体" w:hAnsi="宋体" w:eastAsia="宋体" w:cs="Times New Roman"/>
                <w:szCs w:val="21"/>
              </w:rPr>
              <w:t>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236DA622">
        <w:tblPrEx>
          <w:tblCellMar>
            <w:top w:w="0" w:type="dxa"/>
            <w:left w:w="108" w:type="dxa"/>
            <w:bottom w:w="0" w:type="dxa"/>
            <w:right w:w="108" w:type="dxa"/>
          </w:tblCellMar>
        </w:tblPrEx>
        <w:trPr>
          <w:trHeight w:val="635"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w:t>
            </w:r>
            <w:r>
              <w:rPr>
                <w:rFonts w:hint="eastAsia" w:ascii="宋体" w:hAnsi="宋体"/>
                <w:b/>
                <w:bCs/>
                <w:szCs w:val="21"/>
                <w:lang w:val="en-US" w:eastAsia="zh-CN"/>
              </w:rPr>
              <w:t>二</w:t>
            </w:r>
            <w:r>
              <w:rPr>
                <w:rFonts w:hint="eastAsia" w:ascii="宋体" w:hAnsi="宋体"/>
                <w:b/>
                <w:bCs/>
                <w:szCs w:val="21"/>
              </w:rPr>
              <w:t>）交货期及地点</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w:t>
            </w:r>
            <w:r>
              <w:rPr>
                <w:rFonts w:hint="eastAsia" w:ascii="宋体" w:hAnsi="宋体" w:cs="宋体"/>
                <w:b/>
                <w:bCs/>
                <w:szCs w:val="21"/>
                <w:lang w:val="en-US" w:eastAsia="zh-CN"/>
              </w:rPr>
              <w:t>三</w:t>
            </w:r>
            <w:r>
              <w:rPr>
                <w:rFonts w:hint="eastAsia" w:ascii="宋体" w:hAnsi="宋体" w:cs="宋体"/>
                <w:b/>
                <w:bCs/>
                <w:szCs w:val="21"/>
              </w:rPr>
              <w:t>）付款方式</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w:t>
            </w:r>
            <w:r>
              <w:rPr>
                <w:rFonts w:hint="eastAsia" w:ascii="宋体" w:hAnsi="宋体"/>
                <w:b/>
                <w:bCs/>
                <w:szCs w:val="21"/>
                <w:lang w:val="en-US" w:eastAsia="zh-CN"/>
              </w:rPr>
              <w:t>四</w:t>
            </w:r>
            <w:bookmarkStart w:id="0" w:name="_GoBack"/>
            <w:bookmarkEnd w:id="0"/>
            <w:r>
              <w:rPr>
                <w:rFonts w:hint="eastAsia" w:ascii="宋体" w:hAnsi="宋体"/>
                <w:b/>
                <w:bCs/>
                <w:szCs w:val="21"/>
              </w:rPr>
              <w:t>）验收要求</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020DCCA1">
        <w:tblPrEx>
          <w:tblCellMar>
            <w:top w:w="0" w:type="dxa"/>
            <w:left w:w="108" w:type="dxa"/>
            <w:bottom w:w="0" w:type="dxa"/>
            <w:right w:w="108" w:type="dxa"/>
          </w:tblCellMar>
        </w:tblPrEx>
        <w:trPr>
          <w:trHeight w:val="645" w:hRule="atLeast"/>
        </w:trPr>
        <w:tc>
          <w:tcPr>
            <w:tcW w:w="9742" w:type="dxa"/>
            <w:gridSpan w:val="4"/>
            <w:tcBorders>
              <w:top w:val="single" w:color="auto" w:sz="4" w:space="0"/>
              <w:left w:val="single" w:color="auto" w:sz="4" w:space="0"/>
              <w:bottom w:val="single" w:color="auto" w:sz="4" w:space="0"/>
              <w:right w:val="single" w:color="auto" w:sz="4" w:space="0"/>
            </w:tcBorders>
            <w:noWrap w:val="0"/>
            <w:vAlign w:val="center"/>
          </w:tcPr>
          <w:p w14:paraId="176F22B8">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0AB550B6">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08F48BDC">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8C74EF4"/>
    <w:rsid w:val="0B7D69F7"/>
    <w:rsid w:val="0F0C451E"/>
    <w:rsid w:val="13D151C9"/>
    <w:rsid w:val="1BC83BE6"/>
    <w:rsid w:val="23520E06"/>
    <w:rsid w:val="2F957AD6"/>
    <w:rsid w:val="327E6275"/>
    <w:rsid w:val="459E49A6"/>
    <w:rsid w:val="51A01991"/>
    <w:rsid w:val="636C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napToGrid w:val="0"/>
      <w:spacing w:line="360" w:lineRule="auto"/>
    </w:pPr>
    <w:rPr>
      <w:rFonts w:ascii="Arial" w:hAnsi="Arial" w:eastAsia="仿宋_GB2312"/>
      <w:sz w:val="31"/>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列表段落1"/>
    <w:basedOn w:val="1"/>
    <w:qFormat/>
    <w:uiPriority w:val="34"/>
    <w:pPr>
      <w:ind w:firstLine="42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2999</Words>
  <Characters>3312</Characters>
  <Lines>0</Lines>
  <Paragraphs>0</Paragraphs>
  <TotalTime>0</TotalTime>
  <ScaleCrop>false</ScaleCrop>
  <LinksUpToDate>false</LinksUpToDate>
  <CharactersWithSpaces>3333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2025-10-31T03:42:24Z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