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8014CB">
      <w:pPr>
        <w:jc w:val="center"/>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5.采购需求</w:t>
      </w:r>
    </w:p>
    <w:tbl>
      <w:tblPr>
        <w:tblStyle w:val="5"/>
        <w:tblpPr w:leftFromText="180" w:rightFromText="180" w:vertAnchor="text" w:horzAnchor="page" w:tblpX="1680" w:tblpY="435"/>
        <w:tblOverlap w:val="never"/>
        <w:tblW w:w="8897" w:type="dxa"/>
        <w:tblInd w:w="0" w:type="dxa"/>
        <w:tblLayout w:type="autofit"/>
        <w:tblCellMar>
          <w:top w:w="0" w:type="dxa"/>
          <w:left w:w="108" w:type="dxa"/>
          <w:bottom w:w="0" w:type="dxa"/>
          <w:right w:w="108" w:type="dxa"/>
        </w:tblCellMar>
      </w:tblPr>
      <w:tblGrid>
        <w:gridCol w:w="1242"/>
        <w:gridCol w:w="69"/>
        <w:gridCol w:w="6394"/>
        <w:gridCol w:w="1192"/>
      </w:tblGrid>
      <w:tr w14:paraId="6E8C5FB0">
        <w:tblPrEx>
          <w:tblCellMar>
            <w:top w:w="0" w:type="dxa"/>
            <w:left w:w="108" w:type="dxa"/>
            <w:bottom w:w="0" w:type="dxa"/>
            <w:right w:w="108" w:type="dxa"/>
          </w:tblCellMar>
        </w:tblPrEx>
        <w:trPr>
          <w:trHeight w:val="492" w:hRule="atLeast"/>
        </w:trPr>
        <w:tc>
          <w:tcPr>
            <w:tcW w:w="8897" w:type="dxa"/>
            <w:gridSpan w:val="4"/>
            <w:tcBorders>
              <w:top w:val="single" w:color="auto" w:sz="4" w:space="0"/>
              <w:left w:val="single" w:color="auto" w:sz="4" w:space="0"/>
              <w:bottom w:val="single" w:color="auto" w:sz="4" w:space="0"/>
              <w:right w:val="single" w:color="auto" w:sz="4" w:space="0"/>
            </w:tcBorders>
            <w:noWrap w:val="0"/>
            <w:vAlign w:val="center"/>
          </w:tcPr>
          <w:p w14:paraId="593F1A75">
            <w:pPr>
              <w:widowControl/>
              <w:adjustRightInd w:val="0"/>
              <w:snapToGrid w:val="0"/>
              <w:spacing w:line="360" w:lineRule="exact"/>
              <w:rPr>
                <w:rFonts w:hint="eastAsia" w:ascii="宋体" w:hAnsi="宋体" w:cs="宋体"/>
                <w:b/>
                <w:bCs/>
                <w:kern w:val="0"/>
                <w:szCs w:val="21"/>
              </w:rPr>
            </w:pPr>
            <w:r>
              <w:rPr>
                <w:rFonts w:hint="eastAsia" w:ascii="宋体" w:hAnsi="宋体" w:cs="宋体"/>
                <w:b/>
                <w:bCs/>
                <w:kern w:val="0"/>
                <w:szCs w:val="21"/>
              </w:rPr>
              <w:t>一、采购内容及技术需求</w:t>
            </w:r>
          </w:p>
        </w:tc>
      </w:tr>
      <w:tr w14:paraId="4856AD0E">
        <w:tblPrEx>
          <w:tblCellMar>
            <w:top w:w="0" w:type="dxa"/>
            <w:left w:w="108" w:type="dxa"/>
            <w:bottom w:w="0" w:type="dxa"/>
            <w:right w:w="108" w:type="dxa"/>
          </w:tblCellMar>
        </w:tblPrEx>
        <w:trPr>
          <w:trHeight w:val="492"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64522EE3">
            <w:pPr>
              <w:adjustRightInd w:val="0"/>
              <w:snapToGrid w:val="0"/>
              <w:spacing w:line="360" w:lineRule="exact"/>
              <w:jc w:val="center"/>
              <w:rPr>
                <w:rFonts w:ascii="宋体" w:hAnsi="宋体" w:cs="宋体"/>
                <w:b/>
                <w:bCs/>
                <w:kern w:val="0"/>
                <w:szCs w:val="21"/>
              </w:rPr>
            </w:pPr>
            <w:r>
              <w:rPr>
                <w:rFonts w:ascii="宋体" w:hAnsi="宋体" w:cs="宋体"/>
                <w:b/>
                <w:bCs/>
                <w:kern w:val="0"/>
                <w:szCs w:val="21"/>
              </w:rPr>
              <w:t>名称</w:t>
            </w:r>
          </w:p>
        </w:tc>
        <w:tc>
          <w:tcPr>
            <w:tcW w:w="6463" w:type="dxa"/>
            <w:gridSpan w:val="2"/>
            <w:tcBorders>
              <w:top w:val="single" w:color="auto" w:sz="4" w:space="0"/>
              <w:left w:val="nil"/>
              <w:bottom w:val="single" w:color="auto" w:sz="4" w:space="0"/>
              <w:right w:val="single" w:color="auto" w:sz="4" w:space="0"/>
            </w:tcBorders>
            <w:noWrap w:val="0"/>
            <w:vAlign w:val="center"/>
          </w:tcPr>
          <w:p w14:paraId="103951B8">
            <w:pPr>
              <w:widowControl/>
              <w:adjustRightInd w:val="0"/>
              <w:snapToGrid w:val="0"/>
              <w:spacing w:line="360" w:lineRule="exact"/>
              <w:jc w:val="center"/>
              <w:rPr>
                <w:rFonts w:ascii="宋体" w:hAnsi="宋体" w:cs="宋体"/>
                <w:b/>
                <w:bCs/>
                <w:kern w:val="0"/>
                <w:szCs w:val="21"/>
              </w:rPr>
            </w:pPr>
            <w:r>
              <w:rPr>
                <w:rFonts w:hint="eastAsia" w:ascii="宋体" w:hAnsi="宋体" w:cs="宋体"/>
                <w:b/>
                <w:bCs/>
                <w:kern w:val="0"/>
                <w:szCs w:val="21"/>
              </w:rPr>
              <w:t>详细技术及配置要求，实质性要求，必须满足的条款标注</w:t>
            </w:r>
            <w:r>
              <w:rPr>
                <w:rFonts w:hint="eastAsia" w:ascii="宋体" w:hAnsi="宋体" w:cs="宋体"/>
                <w:szCs w:val="21"/>
              </w:rPr>
              <w:t>★</w:t>
            </w:r>
          </w:p>
        </w:tc>
        <w:tc>
          <w:tcPr>
            <w:tcW w:w="1192" w:type="dxa"/>
            <w:tcBorders>
              <w:top w:val="single" w:color="auto" w:sz="4" w:space="0"/>
              <w:left w:val="nil"/>
              <w:bottom w:val="single" w:color="auto" w:sz="4" w:space="0"/>
              <w:right w:val="single" w:color="auto" w:sz="4" w:space="0"/>
            </w:tcBorders>
            <w:noWrap w:val="0"/>
            <w:vAlign w:val="center"/>
          </w:tcPr>
          <w:p w14:paraId="524506ED">
            <w:pPr>
              <w:widowControl/>
              <w:adjustRightInd w:val="0"/>
              <w:snapToGrid w:val="0"/>
              <w:spacing w:line="360" w:lineRule="exact"/>
              <w:jc w:val="center"/>
              <w:rPr>
                <w:rFonts w:ascii="宋体" w:hAnsi="宋体" w:cs="宋体"/>
                <w:b/>
                <w:bCs/>
                <w:kern w:val="0"/>
                <w:szCs w:val="21"/>
              </w:rPr>
            </w:pPr>
            <w:r>
              <w:rPr>
                <w:rFonts w:hint="eastAsia" w:ascii="宋体" w:hAnsi="宋体" w:cs="宋体"/>
                <w:b/>
                <w:bCs/>
                <w:kern w:val="0"/>
                <w:szCs w:val="21"/>
              </w:rPr>
              <w:t>数量</w:t>
            </w:r>
          </w:p>
        </w:tc>
      </w:tr>
      <w:tr w14:paraId="791EA2B7">
        <w:tblPrEx>
          <w:tblCellMar>
            <w:top w:w="0" w:type="dxa"/>
            <w:left w:w="108" w:type="dxa"/>
            <w:bottom w:w="0" w:type="dxa"/>
            <w:right w:w="108" w:type="dxa"/>
          </w:tblCellMar>
        </w:tblPrEx>
        <w:trPr>
          <w:trHeight w:val="981"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17218655">
            <w:pPr>
              <w:spacing w:line="520" w:lineRule="exact"/>
              <w:jc w:val="center"/>
              <w:rPr>
                <w:rFonts w:hint="eastAsia" w:ascii="仿宋" w:hAnsi="仿宋" w:eastAsia="仿宋" w:cs="宋体"/>
                <w:b/>
                <w:bCs/>
                <w:sz w:val="28"/>
                <w:szCs w:val="28"/>
              </w:rPr>
            </w:pPr>
            <w:r>
              <w:rPr>
                <w:rFonts w:hint="eastAsia" w:ascii="仿宋" w:hAnsi="仿宋" w:eastAsia="仿宋" w:cs="宋体"/>
                <w:b/>
                <w:bCs/>
                <w:sz w:val="28"/>
                <w:szCs w:val="28"/>
              </w:rPr>
              <w:t>（一）</w:t>
            </w:r>
          </w:p>
          <w:p w14:paraId="6DD1B34F">
            <w:pPr>
              <w:spacing w:line="520" w:lineRule="exact"/>
              <w:jc w:val="center"/>
              <w:rPr>
                <w:rFonts w:hint="eastAsia" w:ascii="仿宋" w:hAnsi="仿宋" w:eastAsia="仿宋" w:cs="宋体"/>
                <w:b/>
                <w:bCs/>
                <w:sz w:val="28"/>
                <w:szCs w:val="28"/>
                <w:lang w:eastAsia="zh-CN"/>
              </w:rPr>
            </w:pPr>
            <w:r>
              <w:rPr>
                <w:rFonts w:hint="eastAsia" w:ascii="仿宋" w:hAnsi="仿宋" w:eastAsia="仿宋" w:cs="宋体"/>
                <w:b/>
                <w:bCs/>
                <w:sz w:val="28"/>
                <w:szCs w:val="28"/>
                <w:lang w:val="en-US" w:eastAsia="zh-CN"/>
              </w:rPr>
              <w:t>心电图机</w:t>
            </w:r>
          </w:p>
        </w:tc>
        <w:tc>
          <w:tcPr>
            <w:tcW w:w="6463" w:type="dxa"/>
            <w:gridSpan w:val="2"/>
            <w:tcBorders>
              <w:top w:val="single" w:color="auto" w:sz="4" w:space="0"/>
              <w:left w:val="nil"/>
              <w:bottom w:val="single" w:color="auto" w:sz="4" w:space="0"/>
              <w:right w:val="single" w:color="auto" w:sz="4" w:space="0"/>
            </w:tcBorders>
            <w:noWrap w:val="0"/>
            <w:vAlign w:val="center"/>
          </w:tcPr>
          <w:p w14:paraId="7AEC4D34">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一、工作条件</w:t>
            </w:r>
          </w:p>
          <w:p w14:paraId="3EFD5470">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1.1  可在交流电源100V~240V，50/60Hz，室温5—40℃，相对湿度15% ~95%，大气压57.0 kPa ～ 107.4 kPa的环境下正常工作</w:t>
            </w:r>
          </w:p>
          <w:p w14:paraId="104DCAB6">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1.2  内置可充电锂电池， 连续工作时间不少于500 份自动报告，或不少于1 小时连续记录，或不少于8 小时无记录测量</w:t>
            </w:r>
          </w:p>
          <w:p w14:paraId="13BFE581">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二、ECG测量规格</w:t>
            </w:r>
          </w:p>
          <w:p w14:paraId="3F8D01EB">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2.1  频率响应：0.01Hz ~ 500Hz</w:t>
            </w:r>
          </w:p>
          <w:p w14:paraId="5B8A7E9E">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2.2  采样率：≥64 kHz</w:t>
            </w:r>
          </w:p>
          <w:p w14:paraId="08281495">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★2.3 起搏器采样率：≥96 kHz</w:t>
            </w:r>
          </w:p>
          <w:p w14:paraId="18F1AD9D">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2.4  输入阻抗：≥100MΩ（10Hz）</w:t>
            </w:r>
          </w:p>
          <w:p w14:paraId="57F678F7">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2.5  定标电压：1mV±1%</w:t>
            </w:r>
          </w:p>
          <w:p w14:paraId="3674F602">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2.6  耐极化电压：≥±900mV（±5%）</w:t>
            </w:r>
          </w:p>
          <w:p w14:paraId="719E8CA5">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2.7  内部噪声：≤12.5µVp-p</w:t>
            </w:r>
          </w:p>
          <w:p w14:paraId="5522C0A4">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2.8  共模抑制比： ≥140dB（AC滤波开启）</w:t>
            </w:r>
          </w:p>
          <w:p w14:paraId="2BF3E218">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2.9  灵敏度选择：1.25、2.5、5、10、20、10/5、20/10、自动mm/mV ±5%</w:t>
            </w:r>
          </w:p>
          <w:p w14:paraId="3117B1EB">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2.10 除颤防护：承受不小于5000V(360J) 除颤放电，无数据丢失和损坏</w:t>
            </w:r>
          </w:p>
          <w:p w14:paraId="073A63F0">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三、显示器</w:t>
            </w:r>
          </w:p>
          <w:p w14:paraId="432EE6F5">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3.1  ≥12.英寸彩色液晶屏，分辨率不小于1280*800</w:t>
            </w:r>
          </w:p>
          <w:p w14:paraId="39CE1B7B">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3.2  支持全屏多点触控</w:t>
            </w:r>
          </w:p>
          <w:p w14:paraId="4160BACF">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3.3  倾斜角设计，支持屏幕背景网格显示</w:t>
            </w:r>
          </w:p>
          <w:p w14:paraId="4FF63A7C">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3.4  支持同屏显示≥10秒12导同步心电波形</w:t>
            </w:r>
          </w:p>
          <w:p w14:paraId="07EE7F8E">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四、存储器：</w:t>
            </w:r>
          </w:p>
          <w:p w14:paraId="331A75F0">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4.1  内置存储器支持存储≥1200 份心电图报告</w:t>
            </w:r>
          </w:p>
          <w:p w14:paraId="3D71E2B4">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4.2  支持外接U盘扩展存储空间</w:t>
            </w:r>
          </w:p>
          <w:p w14:paraId="666B6239">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五、打印机</w:t>
            </w:r>
          </w:p>
          <w:p w14:paraId="423A7A26">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5.1  内置热敏式点阵打印机，能打印于A4和US letter大小的热敏纸</w:t>
            </w:r>
          </w:p>
          <w:p w14:paraId="6752BD75">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5.2  走纸速度：5mm/s、12.5mm/s、25mm/s、50mm/s，误差不大于±5%</w:t>
            </w:r>
          </w:p>
          <w:p w14:paraId="050714BA">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5.3  打印分辨率：垂直分辨率≥8点/mm，水平分辨率≥40点/mm（25mm/s）</w:t>
            </w:r>
          </w:p>
          <w:p w14:paraId="44FE8978">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六、软件功能</w:t>
            </w:r>
          </w:p>
          <w:p w14:paraId="066138B1">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6.1  具有信号质量检测功能，对于信号干扰、接触不良或导联脱落的导联做出提示</w:t>
            </w:r>
          </w:p>
          <w:p w14:paraId="652DBBDB">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★6.2  具有起搏检测功能，起搏标记在显示屏上单独区域显示，方便医生查看</w:t>
            </w:r>
          </w:p>
          <w:p w14:paraId="6063737E">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6.3  具有预约下载功能，直接将病人预约下载到心电图机上，减少医生工作量</w:t>
            </w:r>
          </w:p>
          <w:p w14:paraId="40502B5B">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6.5  具有关机延迟功能：自第一次低电量提示后，有至少5分钟的关机延迟时间</w:t>
            </w:r>
          </w:p>
          <w:p w14:paraId="685D5AC2">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七、数据传输</w:t>
            </w:r>
          </w:p>
          <w:p w14:paraId="6D69B71B">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7.1  外部接口：USB接口≥2，网络接口</w:t>
            </w:r>
          </w:p>
          <w:p w14:paraId="7F4B401C">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7.3  支持HL7/DICOM/FTP标准协议</w:t>
            </w:r>
          </w:p>
          <w:p w14:paraId="464281B1">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八、配置</w:t>
            </w:r>
          </w:p>
          <w:p w14:paraId="72D3D62B">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8.1主机1台</w:t>
            </w:r>
          </w:p>
          <w:p w14:paraId="29B1FF20">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8.2成人附件包（电缆+胸部吸球+肢体夹） 1套</w:t>
            </w:r>
          </w:p>
          <w:p w14:paraId="562DFFB8">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8.3锂电池1个</w:t>
            </w:r>
          </w:p>
          <w:p w14:paraId="6E180962">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8.4三芯电源线1根</w:t>
            </w:r>
          </w:p>
          <w:p w14:paraId="68D618DD">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8.5打印纸1份</w:t>
            </w:r>
          </w:p>
        </w:tc>
        <w:tc>
          <w:tcPr>
            <w:tcW w:w="1192" w:type="dxa"/>
            <w:tcBorders>
              <w:top w:val="single" w:color="auto" w:sz="4" w:space="0"/>
              <w:left w:val="nil"/>
              <w:bottom w:val="single" w:color="auto" w:sz="4" w:space="0"/>
              <w:right w:val="single" w:color="auto" w:sz="4" w:space="0"/>
            </w:tcBorders>
            <w:noWrap w:val="0"/>
            <w:vAlign w:val="center"/>
          </w:tcPr>
          <w:p w14:paraId="2D465F0B">
            <w:pPr>
              <w:adjustRightInd w:val="0"/>
              <w:snapToGrid w:val="0"/>
              <w:spacing w:line="360" w:lineRule="exact"/>
              <w:jc w:val="center"/>
              <w:rPr>
                <w:rFonts w:hint="eastAsia" w:ascii="仿宋" w:hAnsi="仿宋" w:eastAsia="仿宋" w:cs="Arial"/>
                <w:b/>
                <w:bCs/>
                <w:color w:val="000000"/>
                <w:kern w:val="0"/>
                <w:sz w:val="24"/>
                <w:lang w:eastAsia="zh-CN"/>
              </w:rPr>
            </w:pPr>
            <w:r>
              <w:rPr>
                <w:rFonts w:hint="eastAsia" w:ascii="仿宋" w:hAnsi="仿宋" w:eastAsia="仿宋" w:cs="Arial"/>
                <w:b/>
                <w:bCs/>
                <w:color w:val="000000"/>
                <w:kern w:val="0"/>
                <w:sz w:val="24"/>
              </w:rPr>
              <w:t>1</w:t>
            </w:r>
            <w:r>
              <w:rPr>
                <w:rFonts w:hint="eastAsia" w:ascii="仿宋" w:hAnsi="仿宋" w:eastAsia="仿宋" w:cs="Arial"/>
                <w:b/>
                <w:bCs/>
                <w:color w:val="000000"/>
                <w:kern w:val="0"/>
                <w:sz w:val="24"/>
                <w:lang w:val="en-US" w:eastAsia="zh-CN"/>
              </w:rPr>
              <w:t>台</w:t>
            </w:r>
          </w:p>
        </w:tc>
      </w:tr>
      <w:tr w14:paraId="6B062896">
        <w:tblPrEx>
          <w:tblCellMar>
            <w:top w:w="0" w:type="dxa"/>
            <w:left w:w="108" w:type="dxa"/>
            <w:bottom w:w="0" w:type="dxa"/>
            <w:right w:w="108" w:type="dxa"/>
          </w:tblCellMar>
        </w:tblPrEx>
        <w:trPr>
          <w:trHeight w:val="981"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37CEE29A">
            <w:pPr>
              <w:spacing w:line="520" w:lineRule="exact"/>
              <w:jc w:val="center"/>
              <w:rPr>
                <w:rFonts w:hint="eastAsia" w:ascii="仿宋" w:hAnsi="仿宋" w:eastAsia="仿宋" w:cs="宋体"/>
                <w:b/>
                <w:bCs/>
                <w:sz w:val="28"/>
                <w:szCs w:val="28"/>
              </w:rPr>
            </w:pPr>
            <w:r>
              <w:rPr>
                <w:rFonts w:hint="eastAsia" w:ascii="仿宋" w:hAnsi="仿宋" w:eastAsia="仿宋" w:cs="宋体"/>
                <w:b/>
                <w:bCs/>
                <w:sz w:val="28"/>
                <w:szCs w:val="28"/>
              </w:rPr>
              <w:t>（</w:t>
            </w:r>
            <w:r>
              <w:rPr>
                <w:rFonts w:hint="eastAsia" w:ascii="仿宋" w:hAnsi="仿宋" w:eastAsia="仿宋" w:cs="宋体"/>
                <w:b/>
                <w:bCs/>
                <w:sz w:val="28"/>
                <w:szCs w:val="28"/>
                <w:lang w:val="en-US" w:eastAsia="zh-CN"/>
              </w:rPr>
              <w:t>二</w:t>
            </w:r>
            <w:r>
              <w:rPr>
                <w:rFonts w:hint="eastAsia" w:ascii="仿宋" w:hAnsi="仿宋" w:eastAsia="仿宋" w:cs="宋体"/>
                <w:b/>
                <w:bCs/>
                <w:sz w:val="28"/>
                <w:szCs w:val="28"/>
              </w:rPr>
              <w:t>）</w:t>
            </w:r>
          </w:p>
          <w:p w14:paraId="38D2A884">
            <w:pPr>
              <w:spacing w:line="520" w:lineRule="exact"/>
              <w:jc w:val="center"/>
              <w:rPr>
                <w:rFonts w:hint="eastAsia" w:ascii="仿宋" w:hAnsi="仿宋" w:eastAsia="仿宋" w:cs="宋体"/>
                <w:b/>
                <w:bCs/>
                <w:sz w:val="28"/>
                <w:szCs w:val="28"/>
              </w:rPr>
            </w:pPr>
            <w:r>
              <w:rPr>
                <w:rFonts w:hint="eastAsia" w:ascii="仿宋" w:hAnsi="仿宋" w:eastAsia="仿宋" w:cs="宋体"/>
                <w:b/>
                <w:bCs/>
                <w:sz w:val="28"/>
                <w:szCs w:val="28"/>
                <w:lang w:val="en-US" w:eastAsia="zh-CN"/>
              </w:rPr>
              <w:t>除颤仪</w:t>
            </w:r>
          </w:p>
        </w:tc>
        <w:tc>
          <w:tcPr>
            <w:tcW w:w="6463" w:type="dxa"/>
            <w:gridSpan w:val="2"/>
            <w:tcBorders>
              <w:top w:val="single" w:color="auto" w:sz="4" w:space="0"/>
              <w:left w:val="nil"/>
              <w:bottom w:val="single" w:color="auto" w:sz="4" w:space="0"/>
              <w:right w:val="single" w:color="auto" w:sz="4" w:space="0"/>
            </w:tcBorders>
            <w:noWrap w:val="0"/>
            <w:vAlign w:val="center"/>
          </w:tcPr>
          <w:p w14:paraId="11768198">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1.彩色液晶显示屏≥7英寸, ≥分辨率800×600像素，可显示≥3道波形；</w:t>
            </w:r>
          </w:p>
          <w:p w14:paraId="1C16BEF2">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2.屏幕显示心电波形扫描时间≥16s，支持中文操作界面，具备手动除颤、心电监护、呼吸监护、自动体外除颤（AED）功能。</w:t>
            </w:r>
          </w:p>
          <w:p w14:paraId="2A0E84A2">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3.除颤采用双相波技术，具备自动阻抗补偿功能。</w:t>
            </w:r>
          </w:p>
          <w:p w14:paraId="5A9ACF65">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4.手动除颤分为同步和非同步两种方式，能量分20档以上，可通过体外电极板进行能量选择，最大能量可达360J。</w:t>
            </w:r>
          </w:p>
          <w:p w14:paraId="2EDAAD23">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5.可配置体内除颤手柄，体内手动除颤能力选择：1/2/3/4/5/6/7/8/9/10/15/20/30/50 J。</w:t>
            </w:r>
          </w:p>
          <w:p w14:paraId="317D1318">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6.支持至少三种尺寸体内除颤电极板，适用不同病人类型。</w:t>
            </w:r>
          </w:p>
          <w:p w14:paraId="2DDEBEFA">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7.体外除颤电极板同时支持成人和小儿，一体化设计，支持快速切换。</w:t>
            </w:r>
          </w:p>
          <w:p w14:paraId="3C56510C">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8.电极板支持能量选择，充电和放电三步操作，满足单人除颤操作。</w:t>
            </w:r>
          </w:p>
          <w:p w14:paraId="624D30A6">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9.AED除颤功能提供中文语音和中文提醒功能，对于抢救过程支持自动录音功能，记录时长≥60min。</w:t>
            </w:r>
          </w:p>
          <w:p w14:paraId="74359345">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10.开机时间≤2s；</w:t>
            </w:r>
          </w:p>
          <w:p w14:paraId="34CBAF79">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★11.除颤充电至200J≤4s，360J≤8s；</w:t>
            </w:r>
          </w:p>
          <w:p w14:paraId="28CFF54A">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★12.除颤后心电基线恢复时间≤2.5s；</w:t>
            </w:r>
          </w:p>
          <w:p w14:paraId="09AA6213">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13.从开始AED分析到放电准备就绪≤10s。</w:t>
            </w:r>
          </w:p>
          <w:p w14:paraId="186AB2EC">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14.支持病人接触状态和阻抗值实时显示。</w:t>
            </w:r>
          </w:p>
          <w:p w14:paraId="16B948AF">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15.支持配置体外起搏功能，起搏分为固定和按需两种模式。具备降速起搏功能。</w:t>
            </w:r>
          </w:p>
          <w:p w14:paraId="76698B0F">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16.支持升级CPR辅助功能，提供即时的按压反馈，设备界面提供按压深度和按压频率实时参数显示。</w:t>
            </w:r>
          </w:p>
          <w:p w14:paraId="16E48B13">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17.心电波形速度支持50 mm/s、25 mm/s、12.5 mm/s、6.25 mm/s。</w:t>
            </w:r>
          </w:p>
          <w:p w14:paraId="0C931113">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18.1/2/3/4/5/6/7/8/9/10/15/20/30/50 J通过心电电极片可监测的心律失常分析种类≥24种。</w:t>
            </w:r>
          </w:p>
          <w:p w14:paraId="0D06F6C9">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19.配置监护功能：可支持升级呼吸末二氧化碳。</w:t>
            </w:r>
          </w:p>
          <w:p w14:paraId="6EB6EB73">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20.支持连接中央站，与科室床旁监护仪共用监护网络。</w:t>
            </w:r>
          </w:p>
          <w:p w14:paraId="245B2D71">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21.支持提供IHE HL7协议，满足院前院内急救系统的联网通信。</w:t>
            </w:r>
          </w:p>
          <w:p w14:paraId="4CE07370">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22.标配1块外置智能锂电池，可支持200J除颤≥300次。</w:t>
            </w:r>
          </w:p>
          <w:p w14:paraId="0A54F9C0">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23.具备生理报警和技术报警功能，通过声音、文字和灯光3种方式进行报警。</w:t>
            </w:r>
          </w:p>
          <w:p w14:paraId="3EB155DD">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24.配置50mm记录纸记录仪，自动打印除颤记录，单次波形记录时间最大不小于30s；支持连续波形记录。</w:t>
            </w:r>
          </w:p>
          <w:p w14:paraId="2426CEFB">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25.可存储24小时连续ECG波形，数据可导出至电脑查看。</w:t>
            </w:r>
          </w:p>
          <w:p w14:paraId="340C2C9F">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26.关机状态下设备支持每天定时自动运行自检（含监护模块和治疗模块），支持定期自动大能量自检（最大放电能量）。</w:t>
            </w:r>
          </w:p>
          <w:p w14:paraId="44FEAD42">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27.设备自检后支持对于自检报告进行自动打印或按需打印。</w:t>
            </w:r>
          </w:p>
          <w:p w14:paraId="6AB6938B">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28.防液体等级不低于IPX4；具备抗跌落性能，可承受≥0.75m跌落冲击；</w:t>
            </w:r>
          </w:p>
          <w:p w14:paraId="20A6A8EB">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29.工作环境，温度范围：0°C-45°C，湿度范围：15%-95%，大气压范围：57.0 kPa ～ 106.2 kPa。</w:t>
            </w:r>
          </w:p>
          <w:p w14:paraId="0E14B257">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二、配置要求</w:t>
            </w:r>
          </w:p>
          <w:p w14:paraId="4FCCFDEC">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1.主机1台</w:t>
            </w:r>
          </w:p>
          <w:p w14:paraId="4198EB96">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2. 3/5导除颤型分体式主电缆组件1根</w:t>
            </w:r>
          </w:p>
          <w:p w14:paraId="0A7C1BFB">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3.三导分体式导联线组件/按扣式1根</w:t>
            </w:r>
          </w:p>
          <w:p w14:paraId="57F11035">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4.三芯电源线1根</w:t>
            </w:r>
          </w:p>
          <w:p w14:paraId="626D7645">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5.锂电池 1-2块</w:t>
            </w:r>
          </w:p>
          <w:p w14:paraId="63534A5E">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6.使用说明书1套</w:t>
            </w:r>
          </w:p>
        </w:tc>
        <w:tc>
          <w:tcPr>
            <w:tcW w:w="1192" w:type="dxa"/>
            <w:tcBorders>
              <w:top w:val="single" w:color="auto" w:sz="4" w:space="0"/>
              <w:left w:val="nil"/>
              <w:bottom w:val="single" w:color="auto" w:sz="4" w:space="0"/>
              <w:right w:val="single" w:color="auto" w:sz="4" w:space="0"/>
            </w:tcBorders>
            <w:noWrap w:val="0"/>
            <w:vAlign w:val="center"/>
          </w:tcPr>
          <w:p w14:paraId="79564687">
            <w:pPr>
              <w:adjustRightInd w:val="0"/>
              <w:snapToGrid w:val="0"/>
              <w:spacing w:line="360" w:lineRule="exact"/>
              <w:jc w:val="center"/>
              <w:rPr>
                <w:rFonts w:hint="default" w:ascii="仿宋" w:hAnsi="仿宋" w:eastAsia="仿宋" w:cs="Arial"/>
                <w:b/>
                <w:bCs/>
                <w:color w:val="000000"/>
                <w:kern w:val="0"/>
                <w:sz w:val="24"/>
                <w:lang w:val="en-US" w:eastAsia="zh-CN"/>
              </w:rPr>
            </w:pPr>
            <w:r>
              <w:rPr>
                <w:rFonts w:hint="eastAsia" w:ascii="仿宋" w:hAnsi="仿宋" w:eastAsia="仿宋" w:cs="Arial"/>
                <w:b/>
                <w:bCs/>
                <w:color w:val="000000"/>
                <w:kern w:val="0"/>
                <w:sz w:val="24"/>
                <w:lang w:val="en-US" w:eastAsia="zh-CN"/>
              </w:rPr>
              <w:t>1台</w:t>
            </w:r>
          </w:p>
        </w:tc>
      </w:tr>
      <w:tr w14:paraId="2A163E98">
        <w:tblPrEx>
          <w:tblCellMar>
            <w:top w:w="0" w:type="dxa"/>
            <w:left w:w="108" w:type="dxa"/>
            <w:bottom w:w="0" w:type="dxa"/>
            <w:right w:w="108" w:type="dxa"/>
          </w:tblCellMar>
        </w:tblPrEx>
        <w:trPr>
          <w:trHeight w:val="981"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1FC5B70D">
            <w:pPr>
              <w:spacing w:line="520" w:lineRule="exact"/>
              <w:jc w:val="center"/>
              <w:rPr>
                <w:rFonts w:hint="eastAsia" w:ascii="仿宋" w:hAnsi="仿宋" w:eastAsia="仿宋" w:cs="宋体"/>
                <w:b/>
                <w:bCs/>
                <w:sz w:val="28"/>
                <w:szCs w:val="28"/>
                <w:lang w:eastAsia="zh-CN"/>
              </w:rPr>
            </w:pPr>
            <w:r>
              <w:rPr>
                <w:rFonts w:hint="eastAsia" w:ascii="仿宋" w:hAnsi="仿宋" w:eastAsia="仿宋" w:cs="宋体"/>
                <w:b/>
                <w:bCs/>
                <w:sz w:val="28"/>
                <w:szCs w:val="28"/>
                <w:lang w:eastAsia="zh-CN"/>
              </w:rPr>
              <w:t>（</w:t>
            </w:r>
            <w:r>
              <w:rPr>
                <w:rFonts w:hint="eastAsia" w:ascii="仿宋" w:hAnsi="仿宋" w:eastAsia="仿宋" w:cs="宋体"/>
                <w:b/>
                <w:bCs/>
                <w:sz w:val="28"/>
                <w:szCs w:val="28"/>
                <w:lang w:val="en-US" w:eastAsia="zh-CN"/>
              </w:rPr>
              <w:t>三</w:t>
            </w:r>
            <w:r>
              <w:rPr>
                <w:rFonts w:hint="eastAsia" w:ascii="仿宋" w:hAnsi="仿宋" w:eastAsia="仿宋" w:cs="宋体"/>
                <w:b/>
                <w:bCs/>
                <w:sz w:val="28"/>
                <w:szCs w:val="28"/>
                <w:lang w:eastAsia="zh-CN"/>
              </w:rPr>
              <w:t>）</w:t>
            </w:r>
          </w:p>
          <w:p w14:paraId="6C9F8D08">
            <w:pPr>
              <w:spacing w:line="520" w:lineRule="exact"/>
              <w:jc w:val="center"/>
              <w:rPr>
                <w:rFonts w:hint="default" w:ascii="仿宋" w:hAnsi="仿宋" w:eastAsia="仿宋" w:cs="宋体"/>
                <w:b/>
                <w:bCs/>
                <w:sz w:val="28"/>
                <w:szCs w:val="28"/>
                <w:lang w:val="en-US" w:eastAsia="zh-CN"/>
              </w:rPr>
            </w:pPr>
            <w:r>
              <w:rPr>
                <w:rFonts w:hint="eastAsia" w:ascii="仿宋" w:hAnsi="仿宋" w:eastAsia="仿宋" w:cs="宋体"/>
                <w:b/>
                <w:bCs/>
                <w:sz w:val="28"/>
                <w:szCs w:val="28"/>
                <w:lang w:val="en-US" w:eastAsia="zh-CN"/>
              </w:rPr>
              <w:t>负压吸引器</w:t>
            </w:r>
          </w:p>
        </w:tc>
        <w:tc>
          <w:tcPr>
            <w:tcW w:w="6463" w:type="dxa"/>
            <w:gridSpan w:val="2"/>
            <w:tcBorders>
              <w:top w:val="single" w:color="auto" w:sz="4" w:space="0"/>
              <w:left w:val="nil"/>
              <w:bottom w:val="single" w:color="auto" w:sz="4" w:space="0"/>
              <w:right w:val="single" w:color="auto" w:sz="4" w:space="0"/>
            </w:tcBorders>
            <w:shd w:val="clear" w:color="auto" w:fill="FFFFFF"/>
            <w:noWrap w:val="0"/>
            <w:vAlign w:val="center"/>
          </w:tcPr>
          <w:p w14:paraId="66B1882F">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一、产品外观及性能要求：</w:t>
            </w:r>
          </w:p>
          <w:p w14:paraId="6217F41A">
            <w:pPr>
              <w:adjustRightInd w:val="0"/>
              <w:snapToGrid w:val="0"/>
              <w:spacing w:line="360" w:lineRule="exact"/>
              <w:jc w:val="left"/>
              <w:rPr>
                <w:rFonts w:hint="eastAsia" w:ascii="宋体" w:hAnsi="宋体" w:eastAsia="宋体" w:cs="Times New Roman"/>
                <w:szCs w:val="21"/>
                <w:lang w:val="en-US" w:eastAsia="zh"/>
              </w:rPr>
            </w:pPr>
            <w:r>
              <w:rPr>
                <w:rFonts w:hint="eastAsia" w:ascii="宋体" w:hAnsi="宋体" w:eastAsia="宋体" w:cs="Times New Roman"/>
                <w:szCs w:val="21"/>
                <w:lang w:val="en-US" w:eastAsia="zh"/>
              </w:rPr>
              <w:t>1.抽气速率：≥25L/min</w:t>
            </w:r>
          </w:p>
          <w:p w14:paraId="02BBC32A">
            <w:pPr>
              <w:adjustRightInd w:val="0"/>
              <w:snapToGrid w:val="0"/>
              <w:spacing w:line="360" w:lineRule="exact"/>
              <w:jc w:val="left"/>
              <w:rPr>
                <w:rFonts w:hint="default" w:ascii="宋体" w:hAnsi="宋体" w:eastAsia="宋体" w:cs="Times New Roman"/>
                <w:szCs w:val="21"/>
                <w:lang w:val="en-US" w:eastAsia="zh"/>
              </w:rPr>
            </w:pPr>
            <w:r>
              <w:rPr>
                <w:rFonts w:hint="eastAsia" w:ascii="宋体" w:hAnsi="宋体" w:eastAsia="宋体" w:cs="Times New Roman"/>
                <w:szCs w:val="21"/>
                <w:lang w:val="en-US" w:eastAsia="zh"/>
              </w:rPr>
              <w:t>2.负压调节范围：</w:t>
            </w:r>
            <w:r>
              <w:rPr>
                <w:rFonts w:hint="eastAsia" w:ascii="宋体" w:hAnsi="宋体" w:eastAsia="宋体" w:cs="Times New Roman"/>
                <w:szCs w:val="21"/>
                <w:lang w:val="en-US" w:eastAsia="zh-CN"/>
              </w:rPr>
              <w:t>包括但不限于-100</w:t>
            </w:r>
            <w:r>
              <w:rPr>
                <w:rFonts w:hint="eastAsia" w:ascii="宋体" w:hAnsi="宋体" w:eastAsia="宋体" w:cs="Times New Roman"/>
                <w:szCs w:val="21"/>
                <w:lang w:val="en-US" w:eastAsia="zh"/>
              </w:rPr>
              <w:t>～</w:t>
            </w:r>
            <w:r>
              <w:rPr>
                <w:rFonts w:hint="eastAsia" w:ascii="宋体" w:hAnsi="宋体" w:eastAsia="宋体" w:cs="Times New Roman"/>
                <w:szCs w:val="21"/>
                <w:lang w:val="en-US" w:eastAsia="zh-CN"/>
              </w:rPr>
              <w:t>-525mmHg</w:t>
            </w:r>
          </w:p>
          <w:p w14:paraId="5430C906">
            <w:pPr>
              <w:adjustRightInd w:val="0"/>
              <w:snapToGrid w:val="0"/>
              <w:spacing w:line="360" w:lineRule="exact"/>
              <w:jc w:val="left"/>
              <w:rPr>
                <w:rFonts w:hint="eastAsia" w:ascii="宋体" w:hAnsi="宋体" w:eastAsia="宋体" w:cs="Times New Roman"/>
                <w:szCs w:val="21"/>
                <w:lang w:val="en-US" w:eastAsia="zh"/>
              </w:rPr>
            </w:pPr>
            <w:r>
              <w:rPr>
                <w:rFonts w:hint="eastAsia" w:ascii="宋体" w:hAnsi="宋体" w:eastAsia="宋体" w:cs="Times New Roman"/>
                <w:szCs w:val="21"/>
                <w:lang w:val="en-US" w:eastAsia="zh"/>
              </w:rPr>
              <w:t>3.噪声：≤65dB</w:t>
            </w:r>
          </w:p>
          <w:p w14:paraId="50AE3D6C">
            <w:pPr>
              <w:adjustRightInd w:val="0"/>
              <w:snapToGrid w:val="0"/>
              <w:spacing w:line="360" w:lineRule="exact"/>
              <w:jc w:val="left"/>
              <w:rPr>
                <w:rFonts w:hint="eastAsia" w:ascii="宋体" w:hAnsi="宋体" w:eastAsia="宋体" w:cs="Times New Roman"/>
                <w:szCs w:val="21"/>
                <w:lang w:val="en-US" w:eastAsia="zh"/>
              </w:rPr>
            </w:pPr>
            <w:r>
              <w:rPr>
                <w:rFonts w:hint="eastAsia" w:ascii="宋体" w:hAnsi="宋体" w:eastAsia="宋体" w:cs="Times New Roman"/>
                <w:szCs w:val="21"/>
                <w:lang w:val="en-US" w:eastAsia="zh"/>
              </w:rPr>
              <w:t>4.输入功率：150VA</w:t>
            </w:r>
          </w:p>
          <w:p w14:paraId="659245BA">
            <w:pPr>
              <w:adjustRightInd w:val="0"/>
              <w:snapToGrid w:val="0"/>
              <w:spacing w:line="360" w:lineRule="exact"/>
              <w:jc w:val="left"/>
              <w:rPr>
                <w:rFonts w:hint="eastAsia" w:ascii="宋体" w:hAnsi="宋体" w:eastAsia="宋体" w:cs="Times New Roman"/>
                <w:szCs w:val="21"/>
                <w:lang w:val="en-US" w:eastAsia="zh"/>
              </w:rPr>
            </w:pPr>
            <w:r>
              <w:rPr>
                <w:rFonts w:hint="eastAsia" w:ascii="宋体" w:hAnsi="宋体" w:eastAsia="宋体" w:cs="Times New Roman"/>
                <w:szCs w:val="21"/>
                <w:lang w:val="en-US" w:eastAsia="zh"/>
              </w:rPr>
              <w:t>5.吸液瓶：1000ml</w:t>
            </w:r>
          </w:p>
          <w:p w14:paraId="2D717EEC">
            <w:pPr>
              <w:adjustRightInd w:val="0"/>
              <w:snapToGrid w:val="0"/>
              <w:spacing w:line="360" w:lineRule="exact"/>
              <w:jc w:val="left"/>
              <w:rPr>
                <w:rFonts w:hint="eastAsia" w:ascii="宋体" w:hAnsi="宋体" w:eastAsia="宋体" w:cs="Times New Roman"/>
                <w:szCs w:val="21"/>
                <w:lang w:val="en-US" w:eastAsia="zh"/>
              </w:rPr>
            </w:pPr>
            <w:r>
              <w:rPr>
                <w:rFonts w:hint="eastAsia" w:ascii="宋体" w:hAnsi="宋体" w:eastAsia="宋体" w:cs="Times New Roman"/>
                <w:szCs w:val="21"/>
                <w:lang w:val="en-US" w:eastAsia="zh"/>
              </w:rPr>
              <w:t>6.工作制：间隙加载连续运行</w:t>
            </w:r>
          </w:p>
          <w:p w14:paraId="7D741250">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二、技术要求：</w:t>
            </w:r>
          </w:p>
          <w:p w14:paraId="0885077C">
            <w:pPr>
              <w:adjustRightInd w:val="0"/>
              <w:snapToGrid w:val="0"/>
              <w:spacing w:line="360" w:lineRule="exact"/>
              <w:jc w:val="left"/>
              <w:rPr>
                <w:rFonts w:hint="eastAsia" w:ascii="宋体" w:hAnsi="宋体" w:eastAsia="宋体" w:cs="Times New Roman"/>
                <w:szCs w:val="21"/>
                <w:lang w:val="en-US" w:eastAsia="zh"/>
              </w:rPr>
            </w:pPr>
            <w:r>
              <w:rPr>
                <w:rFonts w:hint="eastAsia" w:ascii="宋体" w:hAnsi="宋体" w:eastAsia="宋体" w:cs="Times New Roman"/>
                <w:szCs w:val="21"/>
                <w:lang w:val="en-US" w:eastAsia="zh"/>
              </w:rPr>
              <w:t>1无油泵，免维护，无油雾污染，泵体为单向式，无正压产生。</w:t>
            </w:r>
          </w:p>
          <w:p w14:paraId="3C164359">
            <w:pPr>
              <w:adjustRightInd w:val="0"/>
              <w:snapToGrid w:val="0"/>
              <w:spacing w:line="360" w:lineRule="exact"/>
              <w:jc w:val="left"/>
              <w:rPr>
                <w:rFonts w:hint="eastAsia" w:ascii="宋体" w:hAnsi="宋体" w:eastAsia="宋体" w:cs="Times New Roman"/>
                <w:szCs w:val="21"/>
                <w:lang w:val="en-US" w:eastAsia="zh"/>
              </w:rPr>
            </w:pPr>
            <w:r>
              <w:rPr>
                <w:rFonts w:hint="eastAsia" w:ascii="宋体" w:hAnsi="宋体" w:eastAsia="宋体" w:cs="Times New Roman"/>
                <w:szCs w:val="21"/>
                <w:lang w:val="en-US" w:eastAsia="zh"/>
              </w:rPr>
              <w:t>★2.采用交流、外接直流电源（12V）和机内电池三种供电方式当电网或其原因造成停电时，交直流自动转换，不影响正常吸引，可连接车载电源使用。</w:t>
            </w:r>
          </w:p>
          <w:p w14:paraId="50E629CF">
            <w:pPr>
              <w:adjustRightInd w:val="0"/>
              <w:snapToGrid w:val="0"/>
              <w:spacing w:line="360" w:lineRule="exact"/>
              <w:jc w:val="left"/>
              <w:rPr>
                <w:rFonts w:hint="eastAsia" w:ascii="宋体" w:hAnsi="宋体" w:eastAsia="宋体" w:cs="Times New Roman"/>
                <w:szCs w:val="21"/>
                <w:lang w:val="en-US" w:eastAsia="zh"/>
              </w:rPr>
            </w:pPr>
            <w:r>
              <w:rPr>
                <w:rFonts w:hint="eastAsia" w:ascii="宋体" w:hAnsi="宋体" w:eastAsia="宋体" w:cs="Times New Roman"/>
                <w:szCs w:val="21"/>
                <w:lang w:val="en-US" w:eastAsia="zh"/>
              </w:rPr>
              <w:t>3.内置锂电池供电，充足电的蓄电池工作时间约1小时左右。</w:t>
            </w:r>
          </w:p>
          <w:p w14:paraId="52D4021B">
            <w:pPr>
              <w:adjustRightInd w:val="0"/>
              <w:snapToGrid w:val="0"/>
              <w:spacing w:line="360" w:lineRule="exact"/>
              <w:jc w:val="left"/>
              <w:rPr>
                <w:rFonts w:hint="eastAsia" w:ascii="宋体" w:hAnsi="宋体" w:eastAsia="宋体" w:cs="Times New Roman"/>
                <w:szCs w:val="21"/>
                <w:lang w:val="en-US" w:eastAsia="zh"/>
              </w:rPr>
            </w:pPr>
            <w:r>
              <w:rPr>
                <w:rFonts w:hint="eastAsia" w:ascii="宋体" w:hAnsi="宋体" w:eastAsia="宋体" w:cs="Times New Roman"/>
                <w:szCs w:val="21"/>
                <w:lang w:val="en-US" w:eastAsia="zh"/>
              </w:rPr>
              <w:t>4.具有充电溢满指示。充电溢满时，本机自动停止充电。</w:t>
            </w:r>
          </w:p>
          <w:p w14:paraId="2E38D38E">
            <w:pPr>
              <w:adjustRightInd w:val="0"/>
              <w:snapToGrid w:val="0"/>
              <w:spacing w:line="360" w:lineRule="exact"/>
              <w:jc w:val="left"/>
              <w:rPr>
                <w:rFonts w:hint="eastAsia" w:ascii="宋体" w:hAnsi="宋体" w:eastAsia="宋体" w:cs="Times New Roman"/>
                <w:szCs w:val="21"/>
                <w:lang w:val="en-US" w:eastAsia="zh"/>
              </w:rPr>
            </w:pPr>
            <w:r>
              <w:rPr>
                <w:rFonts w:hint="eastAsia" w:ascii="宋体" w:hAnsi="宋体" w:eastAsia="宋体" w:cs="Times New Roman"/>
                <w:szCs w:val="21"/>
                <w:lang w:val="en-US" w:eastAsia="zh"/>
              </w:rPr>
              <w:t>5.溢流保护装置，防止液体进入泵体。</w:t>
            </w:r>
          </w:p>
          <w:p w14:paraId="6E698B59">
            <w:pPr>
              <w:adjustRightInd w:val="0"/>
              <w:snapToGrid w:val="0"/>
              <w:spacing w:line="360" w:lineRule="exact"/>
              <w:jc w:val="left"/>
              <w:rPr>
                <w:rFonts w:hint="eastAsia" w:ascii="宋体" w:hAnsi="宋体" w:eastAsia="宋体" w:cs="Times New Roman"/>
                <w:szCs w:val="21"/>
                <w:lang w:val="en-US" w:eastAsia="zh"/>
              </w:rPr>
            </w:pPr>
            <w:r>
              <w:rPr>
                <w:rFonts w:hint="eastAsia" w:ascii="宋体" w:hAnsi="宋体" w:eastAsia="宋体" w:cs="Times New Roman"/>
                <w:szCs w:val="21"/>
                <w:lang w:val="en-US" w:eastAsia="zh"/>
              </w:rPr>
              <w:t>6.高分子吸引瓶，易消毒、清洗。</w:t>
            </w:r>
          </w:p>
          <w:p w14:paraId="45A4E5E6">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
              </w:rPr>
              <w:t>三</w:t>
            </w:r>
            <w:r>
              <w:rPr>
                <w:rFonts w:hint="eastAsia" w:ascii="宋体" w:hAnsi="宋体" w:eastAsia="宋体" w:cs="Times New Roman"/>
                <w:szCs w:val="21"/>
                <w:lang w:val="en-US" w:eastAsia="zh-CN"/>
              </w:rPr>
              <w:t>、配置：</w:t>
            </w:r>
          </w:p>
          <w:p w14:paraId="76AEB17C">
            <w:pPr>
              <w:adjustRightInd w:val="0"/>
              <w:snapToGrid w:val="0"/>
              <w:spacing w:line="360" w:lineRule="exact"/>
              <w:jc w:val="left"/>
              <w:rPr>
                <w:rFonts w:hint="eastAsia" w:ascii="宋体" w:hAnsi="宋体" w:eastAsia="宋体" w:cs="Times New Roman"/>
                <w:szCs w:val="21"/>
                <w:lang w:val="en-US" w:eastAsia="zh"/>
              </w:rPr>
            </w:pPr>
            <w:r>
              <w:rPr>
                <w:rFonts w:hint="eastAsia" w:ascii="宋体" w:hAnsi="宋体" w:eastAsia="宋体" w:cs="Times New Roman"/>
                <w:szCs w:val="21"/>
                <w:lang w:val="en-US" w:eastAsia="zh"/>
              </w:rPr>
              <w:t>一次性吸管     1根</w:t>
            </w:r>
          </w:p>
          <w:p w14:paraId="6DC0B27B">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
              </w:rPr>
              <w:t>吸引管           1根 </w:t>
            </w:r>
          </w:p>
        </w:tc>
        <w:tc>
          <w:tcPr>
            <w:tcW w:w="1192" w:type="dxa"/>
            <w:tcBorders>
              <w:top w:val="single" w:color="auto" w:sz="4" w:space="0"/>
              <w:left w:val="nil"/>
              <w:bottom w:val="single" w:color="auto" w:sz="4" w:space="0"/>
              <w:right w:val="single" w:color="auto" w:sz="4" w:space="0"/>
            </w:tcBorders>
            <w:noWrap w:val="0"/>
            <w:vAlign w:val="center"/>
          </w:tcPr>
          <w:p w14:paraId="679FB586">
            <w:pPr>
              <w:adjustRightInd w:val="0"/>
              <w:snapToGrid w:val="0"/>
              <w:spacing w:line="360" w:lineRule="exact"/>
              <w:jc w:val="center"/>
              <w:rPr>
                <w:rFonts w:hint="default" w:ascii="仿宋" w:hAnsi="仿宋" w:eastAsia="仿宋" w:cs="Arial"/>
                <w:b/>
                <w:bCs/>
                <w:color w:val="000000"/>
                <w:kern w:val="0"/>
                <w:sz w:val="24"/>
                <w:lang w:val="en-US" w:eastAsia="zh-CN"/>
              </w:rPr>
            </w:pPr>
            <w:r>
              <w:rPr>
                <w:rFonts w:hint="eastAsia" w:ascii="仿宋" w:hAnsi="仿宋" w:eastAsia="仿宋" w:cs="Arial"/>
                <w:b/>
                <w:bCs/>
                <w:color w:val="000000"/>
                <w:kern w:val="0"/>
                <w:sz w:val="24"/>
                <w:lang w:val="en-US" w:eastAsia="zh-CN"/>
              </w:rPr>
              <w:t>1台</w:t>
            </w:r>
          </w:p>
        </w:tc>
      </w:tr>
      <w:tr w14:paraId="5F67F0E7">
        <w:tblPrEx>
          <w:tblCellMar>
            <w:top w:w="0" w:type="dxa"/>
            <w:left w:w="108" w:type="dxa"/>
            <w:bottom w:w="0" w:type="dxa"/>
            <w:right w:w="108" w:type="dxa"/>
          </w:tblCellMar>
        </w:tblPrEx>
        <w:trPr>
          <w:trHeight w:val="981"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6D521D35">
            <w:pPr>
              <w:spacing w:line="520" w:lineRule="exact"/>
              <w:jc w:val="center"/>
              <w:rPr>
                <w:rFonts w:hint="eastAsia" w:ascii="仿宋" w:hAnsi="仿宋" w:eastAsia="仿宋" w:cs="宋体"/>
                <w:b/>
                <w:bCs/>
                <w:sz w:val="28"/>
                <w:szCs w:val="28"/>
                <w:lang w:val="en-US" w:eastAsia="zh-CN"/>
              </w:rPr>
            </w:pPr>
            <w:r>
              <w:rPr>
                <w:rFonts w:hint="eastAsia" w:ascii="仿宋" w:hAnsi="仿宋" w:eastAsia="仿宋" w:cs="宋体"/>
                <w:b/>
                <w:bCs/>
                <w:sz w:val="28"/>
                <w:szCs w:val="28"/>
                <w:lang w:val="en-US" w:eastAsia="zh-CN"/>
              </w:rPr>
              <w:t>（四）</w:t>
            </w:r>
          </w:p>
          <w:p w14:paraId="6A5EEA5C">
            <w:pPr>
              <w:spacing w:line="520" w:lineRule="exact"/>
              <w:jc w:val="center"/>
              <w:rPr>
                <w:rFonts w:hint="eastAsia" w:ascii="仿宋" w:hAnsi="仿宋" w:eastAsia="仿宋" w:cs="宋体"/>
                <w:b/>
                <w:bCs/>
                <w:sz w:val="28"/>
                <w:szCs w:val="28"/>
                <w:lang w:val="en-US" w:eastAsia="zh-CN"/>
              </w:rPr>
            </w:pPr>
            <w:r>
              <w:rPr>
                <w:rFonts w:hint="eastAsia" w:ascii="仿宋" w:hAnsi="仿宋" w:eastAsia="仿宋" w:cs="宋体"/>
                <w:b/>
                <w:bCs/>
                <w:sz w:val="28"/>
                <w:szCs w:val="28"/>
                <w:lang w:val="en-US" w:eastAsia="zh-CN"/>
              </w:rPr>
              <w:t>小型设备：（给氧设备、心肺复苏箱、血糖仪、脊椎固定板、颈托、铲式担架、夹板、常规急救物资）</w:t>
            </w:r>
          </w:p>
        </w:tc>
        <w:tc>
          <w:tcPr>
            <w:tcW w:w="6463" w:type="dxa"/>
            <w:gridSpan w:val="2"/>
            <w:tcBorders>
              <w:top w:val="single" w:color="auto" w:sz="4" w:space="0"/>
              <w:left w:val="nil"/>
              <w:bottom w:val="single" w:color="auto" w:sz="4" w:space="0"/>
              <w:right w:val="single" w:color="auto" w:sz="4" w:space="0"/>
            </w:tcBorders>
            <w:shd w:val="clear" w:color="auto" w:fill="FFFFFF"/>
            <w:noWrap w:val="0"/>
            <w:vAlign w:val="center"/>
          </w:tcPr>
          <w:p w14:paraId="4B756BFF">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1.给氧设备1</w:t>
            </w:r>
            <w:bookmarkStart w:id="0" w:name="_GoBack"/>
            <w:bookmarkEnd w:id="0"/>
            <w:r>
              <w:rPr>
                <w:rFonts w:hint="eastAsia" w:ascii="宋体" w:hAnsi="宋体" w:eastAsia="宋体" w:cs="Times New Roman"/>
                <w:szCs w:val="21"/>
                <w:lang w:val="en-US" w:eastAsia="zh-CN"/>
              </w:rPr>
              <w:t>套（包含 ：氧气瓶、氧气枕、一次性吸氧面罩、一次性鼻导管）</w:t>
            </w:r>
          </w:p>
          <w:p w14:paraId="7C26C824">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2.心肺复苏箱1套（配备心肺复苏相关工具，用于心脏骤停患者抢救，包含 ：喉镜、一次性气管插管、一次性口咽通气管、一次性面罩、简易呼吸器）</w:t>
            </w:r>
          </w:p>
          <w:p w14:paraId="6DB5F6FB">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3.血糖仪1个(快速检测糖尿病患者血糖水平)</w:t>
            </w:r>
          </w:p>
          <w:p w14:paraId="4770AD21">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4.脊椎固定板1个(用于脊柱损伤患者转运，防止二次损伤)</w:t>
            </w:r>
          </w:p>
          <w:p w14:paraId="71A8B3E9">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5.颈托3个(不同尺寸，适配成人及儿童颈部固定.大中小各1个)</w:t>
            </w:r>
          </w:p>
          <w:p w14:paraId="2875F8F5">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6.铲式担架1个(用于创伤患者现场搬运，便于上下救护车)</w:t>
            </w:r>
          </w:p>
          <w:p w14:paraId="7D1483C1">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7.夹板3套(含上肢、下肢夹板，用于骨折固定)</w:t>
            </w:r>
          </w:p>
          <w:p w14:paraId="2D7BCED0">
            <w:pPr>
              <w:adjustRightInd w:val="0"/>
              <w:snapToGrid w:val="0"/>
              <w:spacing w:line="360" w:lineRule="exact"/>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8.常规急救物资5套(用于止血、包扎、分类区分患者病情轻重，优化救治顺序，包含：三角巾、绷带、止血带、检伤分类标示卡（牌）。)</w:t>
            </w:r>
          </w:p>
        </w:tc>
        <w:tc>
          <w:tcPr>
            <w:tcW w:w="1192" w:type="dxa"/>
            <w:tcBorders>
              <w:top w:val="single" w:color="auto" w:sz="4" w:space="0"/>
              <w:left w:val="nil"/>
              <w:bottom w:val="single" w:color="auto" w:sz="4" w:space="0"/>
              <w:right w:val="single" w:color="auto" w:sz="4" w:space="0"/>
            </w:tcBorders>
            <w:noWrap w:val="0"/>
            <w:vAlign w:val="center"/>
          </w:tcPr>
          <w:p w14:paraId="4838E550">
            <w:pPr>
              <w:adjustRightInd w:val="0"/>
              <w:snapToGrid w:val="0"/>
              <w:spacing w:line="360" w:lineRule="exact"/>
              <w:jc w:val="center"/>
              <w:rPr>
                <w:rFonts w:hint="default" w:ascii="仿宋" w:hAnsi="仿宋" w:eastAsia="仿宋" w:cs="Arial"/>
                <w:b/>
                <w:bCs/>
                <w:color w:val="000000"/>
                <w:kern w:val="0"/>
                <w:sz w:val="24"/>
                <w:lang w:val="en-US" w:eastAsia="zh-CN"/>
              </w:rPr>
            </w:pPr>
            <w:r>
              <w:rPr>
                <w:rFonts w:hint="eastAsia" w:ascii="仿宋" w:hAnsi="仿宋" w:eastAsia="仿宋" w:cs="Arial"/>
                <w:b/>
                <w:bCs/>
                <w:color w:val="000000"/>
                <w:kern w:val="0"/>
                <w:sz w:val="24"/>
                <w:lang w:val="en-US" w:eastAsia="zh-CN"/>
              </w:rPr>
              <w:t>1批</w:t>
            </w:r>
          </w:p>
        </w:tc>
      </w:tr>
      <w:tr w14:paraId="64347D00">
        <w:tblPrEx>
          <w:tblCellMar>
            <w:top w:w="0" w:type="dxa"/>
            <w:left w:w="108" w:type="dxa"/>
            <w:bottom w:w="0" w:type="dxa"/>
            <w:right w:w="108" w:type="dxa"/>
          </w:tblCellMar>
        </w:tblPrEx>
        <w:trPr>
          <w:trHeight w:val="428" w:hRule="atLeast"/>
        </w:trPr>
        <w:tc>
          <w:tcPr>
            <w:tcW w:w="8897" w:type="dxa"/>
            <w:gridSpan w:val="4"/>
            <w:tcBorders>
              <w:top w:val="single" w:color="auto" w:sz="4" w:space="0"/>
              <w:left w:val="single" w:color="auto" w:sz="4" w:space="0"/>
              <w:bottom w:val="single" w:color="auto" w:sz="4" w:space="0"/>
              <w:right w:val="single" w:color="auto" w:sz="4" w:space="0"/>
            </w:tcBorders>
            <w:noWrap w:val="0"/>
            <w:vAlign w:val="center"/>
          </w:tcPr>
          <w:p w14:paraId="7034EAA2">
            <w:pPr>
              <w:adjustRightInd w:val="0"/>
              <w:snapToGrid w:val="0"/>
              <w:spacing w:line="360" w:lineRule="exact"/>
              <w:jc w:val="left"/>
              <w:rPr>
                <w:rFonts w:hint="eastAsia" w:ascii="宋体" w:hAnsi="宋体"/>
                <w:szCs w:val="21"/>
              </w:rPr>
            </w:pPr>
            <w:r>
              <w:rPr>
                <w:rFonts w:hint="eastAsia" w:ascii="宋体" w:hAnsi="宋体"/>
                <w:szCs w:val="21"/>
              </w:rPr>
              <w:t>★</w:t>
            </w:r>
            <w:r>
              <w:rPr>
                <w:rFonts w:hint="eastAsia" w:ascii="宋体" w:hAnsi="宋体"/>
                <w:b/>
                <w:bCs/>
                <w:szCs w:val="21"/>
              </w:rPr>
              <w:t>二、商务要求</w:t>
            </w:r>
          </w:p>
        </w:tc>
      </w:tr>
      <w:tr w14:paraId="74ADEB25">
        <w:tblPrEx>
          <w:tblCellMar>
            <w:top w:w="0" w:type="dxa"/>
            <w:left w:w="108" w:type="dxa"/>
            <w:bottom w:w="0" w:type="dxa"/>
            <w:right w:w="108" w:type="dxa"/>
          </w:tblCellMar>
        </w:tblPrEx>
        <w:trPr>
          <w:trHeight w:val="428" w:hRule="atLeast"/>
        </w:trPr>
        <w:tc>
          <w:tcPr>
            <w:tcW w:w="1311" w:type="dxa"/>
            <w:gridSpan w:val="2"/>
            <w:tcBorders>
              <w:top w:val="single" w:color="auto" w:sz="4" w:space="0"/>
              <w:left w:val="single" w:color="auto" w:sz="4" w:space="0"/>
              <w:bottom w:val="single" w:color="auto" w:sz="4" w:space="0"/>
              <w:right w:val="single" w:color="auto" w:sz="4" w:space="0"/>
            </w:tcBorders>
            <w:noWrap w:val="0"/>
            <w:vAlign w:val="center"/>
          </w:tcPr>
          <w:p w14:paraId="5F00790B">
            <w:pPr>
              <w:adjustRightInd w:val="0"/>
              <w:snapToGrid w:val="0"/>
              <w:spacing w:line="360" w:lineRule="exact"/>
              <w:jc w:val="left"/>
              <w:rPr>
                <w:rFonts w:hint="eastAsia" w:ascii="宋体" w:hAnsi="宋体"/>
                <w:szCs w:val="21"/>
              </w:rPr>
            </w:pPr>
            <w:r>
              <w:rPr>
                <w:rFonts w:hint="eastAsia" w:ascii="宋体" w:hAnsi="宋体"/>
                <w:b/>
                <w:bCs/>
                <w:szCs w:val="21"/>
              </w:rPr>
              <w:t>（一）售后服务要求</w:t>
            </w:r>
          </w:p>
        </w:tc>
        <w:tc>
          <w:tcPr>
            <w:tcW w:w="7586" w:type="dxa"/>
            <w:gridSpan w:val="2"/>
            <w:tcBorders>
              <w:top w:val="single" w:color="auto" w:sz="4" w:space="0"/>
              <w:left w:val="single" w:color="auto" w:sz="4" w:space="0"/>
              <w:bottom w:val="single" w:color="auto" w:sz="4" w:space="0"/>
              <w:right w:val="single" w:color="auto" w:sz="4" w:space="0"/>
            </w:tcBorders>
            <w:noWrap w:val="0"/>
            <w:vAlign w:val="top"/>
          </w:tcPr>
          <w:p w14:paraId="261D61F0">
            <w:pPr>
              <w:adjustRightInd w:val="0"/>
              <w:snapToGrid w:val="0"/>
              <w:spacing w:line="360" w:lineRule="exact"/>
              <w:jc w:val="left"/>
              <w:rPr>
                <w:rFonts w:hint="eastAsia" w:ascii="宋体" w:hAnsi="宋体"/>
                <w:szCs w:val="21"/>
              </w:rPr>
            </w:pPr>
            <w:r>
              <w:rPr>
                <w:rFonts w:hint="eastAsia" w:ascii="宋体" w:hAnsi="宋体"/>
                <w:szCs w:val="21"/>
              </w:rPr>
              <w:t>1.免费保修期要求：按国家有关产品“三包”规定执行“三包”，</w:t>
            </w:r>
            <w:r>
              <w:rPr>
                <w:rFonts w:hint="eastAsia" w:ascii="宋体" w:hAnsi="宋体"/>
                <w:szCs w:val="21"/>
                <w:lang w:val="en-US" w:eastAsia="zh-CN"/>
              </w:rPr>
              <w:t>第1-4项</w:t>
            </w:r>
            <w:r>
              <w:rPr>
                <w:rFonts w:hint="eastAsia" w:ascii="宋体" w:hAnsi="宋体"/>
                <w:szCs w:val="21"/>
              </w:rPr>
              <w:t>免费保修期：3年</w:t>
            </w:r>
            <w:r>
              <w:rPr>
                <w:rFonts w:hint="eastAsia" w:ascii="宋体" w:hAnsi="宋体"/>
                <w:szCs w:val="21"/>
                <w:lang w:eastAsia="zh-CN"/>
              </w:rPr>
              <w:t>，</w:t>
            </w:r>
            <w:r>
              <w:rPr>
                <w:rFonts w:hint="eastAsia" w:ascii="宋体" w:hAnsi="宋体"/>
                <w:szCs w:val="21"/>
                <w:lang w:val="en-US" w:eastAsia="zh-CN"/>
              </w:rPr>
              <w:t>第5项</w:t>
            </w:r>
            <w:r>
              <w:rPr>
                <w:rFonts w:hint="eastAsia" w:ascii="宋体" w:hAnsi="宋体"/>
                <w:szCs w:val="21"/>
              </w:rPr>
              <w:t>免费保修期：</w:t>
            </w:r>
            <w:r>
              <w:rPr>
                <w:rFonts w:hint="eastAsia" w:ascii="宋体" w:hAnsi="宋体"/>
                <w:szCs w:val="21"/>
                <w:lang w:val="en-US" w:eastAsia="zh-CN"/>
              </w:rPr>
              <w:t>2</w:t>
            </w:r>
            <w:r>
              <w:rPr>
                <w:rFonts w:hint="eastAsia" w:ascii="宋体" w:hAnsi="宋体"/>
                <w:szCs w:val="21"/>
              </w:rPr>
              <w:t>年（自验收合格之日起计算）。</w:t>
            </w:r>
          </w:p>
          <w:p w14:paraId="64C8607B">
            <w:pPr>
              <w:adjustRightInd w:val="0"/>
              <w:snapToGrid w:val="0"/>
              <w:spacing w:line="360" w:lineRule="exact"/>
              <w:jc w:val="left"/>
              <w:rPr>
                <w:rFonts w:hint="eastAsia" w:ascii="宋体" w:hAnsi="宋体"/>
                <w:szCs w:val="21"/>
              </w:rPr>
            </w:pPr>
            <w:r>
              <w:rPr>
                <w:rFonts w:hint="eastAsia" w:ascii="宋体" w:hAnsi="宋体"/>
                <w:szCs w:val="21"/>
              </w:rPr>
              <w:t>2.招标范围内的货物送货上门，装卸、安装调试合格，提供技术服务及技术培训，保证采购人操作人员熟练操作设备。</w:t>
            </w:r>
          </w:p>
          <w:p w14:paraId="5B5BF004">
            <w:pPr>
              <w:adjustRightInd w:val="0"/>
              <w:snapToGrid w:val="0"/>
              <w:spacing w:line="360" w:lineRule="exact"/>
              <w:jc w:val="left"/>
              <w:rPr>
                <w:rFonts w:hint="eastAsia" w:ascii="宋体" w:hAnsi="宋体"/>
                <w:szCs w:val="21"/>
              </w:rPr>
            </w:pPr>
            <w:r>
              <w:rPr>
                <w:rFonts w:hint="eastAsia" w:ascii="宋体" w:hAnsi="宋体"/>
                <w:szCs w:val="21"/>
              </w:rPr>
              <w:t>3.免费保修期内上门提供维护服务，出现故障时，8小时内到达现场，24小时内解决故障。</w:t>
            </w:r>
          </w:p>
        </w:tc>
      </w:tr>
      <w:tr w14:paraId="19941D8A">
        <w:tblPrEx>
          <w:tblCellMar>
            <w:top w:w="0" w:type="dxa"/>
            <w:left w:w="108" w:type="dxa"/>
            <w:bottom w:w="0" w:type="dxa"/>
            <w:right w:w="108" w:type="dxa"/>
          </w:tblCellMar>
        </w:tblPrEx>
        <w:trPr>
          <w:trHeight w:val="428" w:hRule="atLeast"/>
        </w:trPr>
        <w:tc>
          <w:tcPr>
            <w:tcW w:w="1311" w:type="dxa"/>
            <w:gridSpan w:val="2"/>
            <w:tcBorders>
              <w:top w:val="single" w:color="auto" w:sz="4" w:space="0"/>
              <w:left w:val="single" w:color="auto" w:sz="4" w:space="0"/>
              <w:bottom w:val="single" w:color="auto" w:sz="4" w:space="0"/>
              <w:right w:val="single" w:color="auto" w:sz="4" w:space="0"/>
            </w:tcBorders>
            <w:noWrap w:val="0"/>
            <w:vAlign w:val="center"/>
          </w:tcPr>
          <w:p w14:paraId="09B5F218">
            <w:pPr>
              <w:adjustRightInd w:val="0"/>
              <w:snapToGrid w:val="0"/>
              <w:spacing w:line="360" w:lineRule="exact"/>
              <w:jc w:val="left"/>
              <w:rPr>
                <w:rFonts w:hint="eastAsia" w:ascii="宋体" w:hAnsi="宋体" w:cs="宋体"/>
                <w:b/>
                <w:bCs/>
                <w:kern w:val="0"/>
              </w:rPr>
            </w:pPr>
            <w:r>
              <w:rPr>
                <w:rFonts w:hint="eastAsia" w:ascii="宋体" w:hAnsi="宋体" w:cs="宋体"/>
                <w:b/>
                <w:bCs/>
                <w:kern w:val="0"/>
              </w:rPr>
              <w:t>（二）核心产品</w:t>
            </w:r>
          </w:p>
        </w:tc>
        <w:tc>
          <w:tcPr>
            <w:tcW w:w="7586" w:type="dxa"/>
            <w:gridSpan w:val="2"/>
            <w:tcBorders>
              <w:top w:val="single" w:color="auto" w:sz="4" w:space="0"/>
              <w:left w:val="single" w:color="auto" w:sz="4" w:space="0"/>
              <w:bottom w:val="single" w:color="auto" w:sz="4" w:space="0"/>
              <w:right w:val="single" w:color="auto" w:sz="4" w:space="0"/>
            </w:tcBorders>
            <w:noWrap w:val="0"/>
            <w:vAlign w:val="center"/>
          </w:tcPr>
          <w:p w14:paraId="4BC878B0">
            <w:pPr>
              <w:adjustRightInd w:val="0"/>
              <w:snapToGrid w:val="0"/>
              <w:spacing w:line="360" w:lineRule="exact"/>
              <w:jc w:val="left"/>
              <w:rPr>
                <w:rFonts w:hint="eastAsia" w:ascii="宋体" w:hAnsi="宋体" w:eastAsia="宋体" w:cs="宋体"/>
                <w:b/>
                <w:bCs/>
                <w:kern w:val="0"/>
                <w:lang w:eastAsia="zh-CN"/>
              </w:rPr>
            </w:pPr>
            <w:r>
              <w:rPr>
                <w:rFonts w:hint="eastAsia" w:ascii="宋体" w:hAnsi="宋体" w:eastAsia="宋体" w:cs="宋体"/>
                <w:b/>
                <w:bCs/>
                <w:kern w:val="0"/>
                <w:lang w:val="en-US" w:eastAsia="zh-CN"/>
              </w:rPr>
              <w:t>心电图机</w:t>
            </w:r>
          </w:p>
        </w:tc>
      </w:tr>
      <w:tr w14:paraId="236DA622">
        <w:tblPrEx>
          <w:tblCellMar>
            <w:top w:w="0" w:type="dxa"/>
            <w:left w:w="108" w:type="dxa"/>
            <w:bottom w:w="0" w:type="dxa"/>
            <w:right w:w="108" w:type="dxa"/>
          </w:tblCellMar>
        </w:tblPrEx>
        <w:trPr>
          <w:trHeight w:val="635" w:hRule="atLeast"/>
        </w:trPr>
        <w:tc>
          <w:tcPr>
            <w:tcW w:w="1311" w:type="dxa"/>
            <w:gridSpan w:val="2"/>
            <w:tcBorders>
              <w:top w:val="single" w:color="auto" w:sz="4" w:space="0"/>
              <w:left w:val="single" w:color="auto" w:sz="4" w:space="0"/>
              <w:bottom w:val="single" w:color="auto" w:sz="4" w:space="0"/>
              <w:right w:val="single" w:color="auto" w:sz="4" w:space="0"/>
            </w:tcBorders>
            <w:noWrap w:val="0"/>
            <w:vAlign w:val="center"/>
          </w:tcPr>
          <w:p w14:paraId="0AB9015A">
            <w:pPr>
              <w:adjustRightInd w:val="0"/>
              <w:snapToGrid w:val="0"/>
              <w:spacing w:line="360" w:lineRule="exact"/>
              <w:jc w:val="left"/>
              <w:rPr>
                <w:rFonts w:hint="eastAsia" w:ascii="宋体" w:hAnsi="宋体"/>
                <w:szCs w:val="21"/>
              </w:rPr>
            </w:pPr>
            <w:r>
              <w:rPr>
                <w:rFonts w:hint="eastAsia" w:ascii="宋体" w:hAnsi="宋体"/>
                <w:b/>
                <w:bCs/>
                <w:szCs w:val="21"/>
              </w:rPr>
              <w:t>（三）交货期及地点</w:t>
            </w:r>
          </w:p>
        </w:tc>
        <w:tc>
          <w:tcPr>
            <w:tcW w:w="7586" w:type="dxa"/>
            <w:gridSpan w:val="2"/>
            <w:tcBorders>
              <w:top w:val="single" w:color="auto" w:sz="4" w:space="0"/>
              <w:left w:val="single" w:color="auto" w:sz="4" w:space="0"/>
              <w:bottom w:val="single" w:color="auto" w:sz="4" w:space="0"/>
              <w:right w:val="single" w:color="auto" w:sz="4" w:space="0"/>
            </w:tcBorders>
            <w:noWrap w:val="0"/>
            <w:vAlign w:val="center"/>
          </w:tcPr>
          <w:p w14:paraId="546DE1BA">
            <w:pPr>
              <w:adjustRightInd w:val="0"/>
              <w:snapToGrid w:val="0"/>
              <w:spacing w:line="360" w:lineRule="exact"/>
              <w:jc w:val="left"/>
              <w:rPr>
                <w:rFonts w:hint="eastAsia" w:ascii="宋体" w:hAnsi="宋体"/>
                <w:szCs w:val="21"/>
              </w:rPr>
            </w:pPr>
            <w:r>
              <w:rPr>
                <w:rFonts w:hint="eastAsia" w:ascii="宋体" w:hAnsi="宋体"/>
                <w:szCs w:val="21"/>
              </w:rPr>
              <w:t>1.交货期：自签订合同之日起30个日历日内交货并安装调试合格交付使用。</w:t>
            </w:r>
          </w:p>
          <w:p w14:paraId="636418C7">
            <w:pPr>
              <w:adjustRightInd w:val="0"/>
              <w:snapToGrid w:val="0"/>
              <w:spacing w:line="360" w:lineRule="exact"/>
              <w:jc w:val="left"/>
              <w:rPr>
                <w:rFonts w:hint="eastAsia" w:ascii="宋体" w:hAnsi="宋体"/>
                <w:szCs w:val="21"/>
              </w:rPr>
            </w:pPr>
            <w:r>
              <w:rPr>
                <w:rFonts w:hint="eastAsia" w:ascii="宋体" w:hAnsi="宋体"/>
                <w:szCs w:val="21"/>
              </w:rPr>
              <w:t>2.交货地点：广西桂林市招标人指定地点。</w:t>
            </w:r>
          </w:p>
        </w:tc>
      </w:tr>
      <w:tr w14:paraId="7C01284A">
        <w:tblPrEx>
          <w:tblCellMar>
            <w:top w:w="0" w:type="dxa"/>
            <w:left w:w="108" w:type="dxa"/>
            <w:bottom w:w="0" w:type="dxa"/>
            <w:right w:w="108" w:type="dxa"/>
          </w:tblCellMar>
        </w:tblPrEx>
        <w:trPr>
          <w:trHeight w:val="569" w:hRule="atLeast"/>
        </w:trPr>
        <w:tc>
          <w:tcPr>
            <w:tcW w:w="1311" w:type="dxa"/>
            <w:gridSpan w:val="2"/>
            <w:tcBorders>
              <w:top w:val="single" w:color="auto" w:sz="4" w:space="0"/>
              <w:left w:val="single" w:color="auto" w:sz="4" w:space="0"/>
              <w:bottom w:val="single" w:color="auto" w:sz="4" w:space="0"/>
              <w:right w:val="single" w:color="auto" w:sz="4" w:space="0"/>
            </w:tcBorders>
            <w:noWrap w:val="0"/>
            <w:vAlign w:val="center"/>
          </w:tcPr>
          <w:p w14:paraId="341C02F1">
            <w:pPr>
              <w:adjustRightInd w:val="0"/>
              <w:snapToGrid w:val="0"/>
              <w:spacing w:line="360" w:lineRule="exact"/>
              <w:jc w:val="center"/>
              <w:rPr>
                <w:rFonts w:ascii="宋体" w:hAnsi="宋体" w:cs="宋体"/>
                <w:szCs w:val="21"/>
              </w:rPr>
            </w:pPr>
            <w:r>
              <w:rPr>
                <w:rFonts w:hint="eastAsia" w:ascii="宋体" w:hAnsi="宋体" w:cs="宋体"/>
                <w:b/>
                <w:bCs/>
                <w:szCs w:val="21"/>
              </w:rPr>
              <w:t>（四）付款方式</w:t>
            </w:r>
          </w:p>
        </w:tc>
        <w:tc>
          <w:tcPr>
            <w:tcW w:w="7586" w:type="dxa"/>
            <w:gridSpan w:val="2"/>
            <w:tcBorders>
              <w:top w:val="single" w:color="auto" w:sz="4" w:space="0"/>
              <w:left w:val="single" w:color="auto" w:sz="4" w:space="0"/>
              <w:bottom w:val="single" w:color="auto" w:sz="4" w:space="0"/>
              <w:right w:val="single" w:color="auto" w:sz="4" w:space="0"/>
            </w:tcBorders>
            <w:noWrap w:val="0"/>
            <w:vAlign w:val="center"/>
          </w:tcPr>
          <w:p w14:paraId="187DCD88">
            <w:pPr>
              <w:adjustRightInd w:val="0"/>
              <w:snapToGrid w:val="0"/>
              <w:spacing w:line="360" w:lineRule="exact"/>
              <w:rPr>
                <w:rFonts w:hint="eastAsia"/>
                <w:szCs w:val="21"/>
              </w:rPr>
            </w:pPr>
            <w:r>
              <w:rPr>
                <w:rFonts w:hint="eastAsia" w:ascii="宋体" w:hAnsi="宋体" w:cs="宋体"/>
                <w:szCs w:val="21"/>
              </w:rPr>
              <w:t>合同签订且验收合格后三个月内首付合同价款的60%；设备运行3个月后支付合同价款的30%；剩余合同价款的10%于验收合格一年后付清（不计利息）。</w:t>
            </w:r>
          </w:p>
        </w:tc>
      </w:tr>
      <w:tr w14:paraId="73372C4D">
        <w:tblPrEx>
          <w:tblCellMar>
            <w:top w:w="0" w:type="dxa"/>
            <w:left w:w="108" w:type="dxa"/>
            <w:bottom w:w="0" w:type="dxa"/>
            <w:right w:w="108" w:type="dxa"/>
          </w:tblCellMar>
        </w:tblPrEx>
        <w:trPr>
          <w:trHeight w:val="569" w:hRule="atLeast"/>
        </w:trPr>
        <w:tc>
          <w:tcPr>
            <w:tcW w:w="1311" w:type="dxa"/>
            <w:gridSpan w:val="2"/>
            <w:tcBorders>
              <w:top w:val="single" w:color="auto" w:sz="4" w:space="0"/>
              <w:left w:val="single" w:color="auto" w:sz="4" w:space="0"/>
              <w:bottom w:val="single" w:color="auto" w:sz="4" w:space="0"/>
              <w:right w:val="single" w:color="auto" w:sz="4" w:space="0"/>
            </w:tcBorders>
            <w:noWrap w:val="0"/>
            <w:vAlign w:val="center"/>
          </w:tcPr>
          <w:p w14:paraId="0D4C09BC">
            <w:pPr>
              <w:adjustRightInd w:val="0"/>
              <w:snapToGrid w:val="0"/>
              <w:spacing w:line="360" w:lineRule="exact"/>
              <w:jc w:val="center"/>
              <w:rPr>
                <w:rFonts w:ascii="宋体" w:hAnsi="宋体"/>
                <w:szCs w:val="21"/>
              </w:rPr>
            </w:pPr>
            <w:r>
              <w:rPr>
                <w:rFonts w:hint="eastAsia" w:ascii="宋体" w:hAnsi="宋体"/>
                <w:b/>
                <w:bCs/>
                <w:szCs w:val="21"/>
              </w:rPr>
              <w:t>（五）验收要求</w:t>
            </w:r>
          </w:p>
        </w:tc>
        <w:tc>
          <w:tcPr>
            <w:tcW w:w="7586" w:type="dxa"/>
            <w:gridSpan w:val="2"/>
            <w:tcBorders>
              <w:top w:val="single" w:color="auto" w:sz="4" w:space="0"/>
              <w:left w:val="single" w:color="auto" w:sz="4" w:space="0"/>
              <w:bottom w:val="single" w:color="auto" w:sz="4" w:space="0"/>
              <w:right w:val="single" w:color="auto" w:sz="4" w:space="0"/>
            </w:tcBorders>
            <w:noWrap w:val="0"/>
            <w:vAlign w:val="center"/>
          </w:tcPr>
          <w:p w14:paraId="1CD2ABCA">
            <w:pPr>
              <w:adjustRightInd w:val="0"/>
              <w:snapToGrid w:val="0"/>
              <w:spacing w:line="360" w:lineRule="exact"/>
              <w:rPr>
                <w:rFonts w:hint="eastAsia" w:ascii="宋体" w:hAnsi="宋体"/>
                <w:szCs w:val="21"/>
              </w:rPr>
            </w:pPr>
            <w:r>
              <w:rPr>
                <w:rFonts w:hint="eastAsia" w:ascii="宋体" w:hAnsi="宋体"/>
              </w:rPr>
              <w:t>1.中标人提供的产品必须</w:t>
            </w:r>
            <w:r>
              <w:rPr>
                <w:rFonts w:hint="eastAsia" w:ascii="宋体" w:hAnsi="宋体"/>
                <w:szCs w:val="21"/>
              </w:rPr>
              <w:t>符合</w:t>
            </w:r>
            <w:r>
              <w:rPr>
                <w:rFonts w:hint="eastAsia" w:ascii="宋体" w:hAnsi="宋体"/>
              </w:rPr>
              <w:t>国家、行业强制执行的相关质量标准要求以及</w:t>
            </w:r>
            <w:r>
              <w:rPr>
                <w:rFonts w:hint="eastAsia" w:ascii="宋体" w:hAnsi="宋体"/>
                <w:szCs w:val="21"/>
              </w:rPr>
              <w:t>产品制造厂家合格产品的出厂质量标准。</w:t>
            </w:r>
          </w:p>
          <w:p w14:paraId="4EF4F53E">
            <w:pPr>
              <w:adjustRightInd w:val="0"/>
              <w:snapToGrid w:val="0"/>
              <w:spacing w:line="360" w:lineRule="exact"/>
              <w:rPr>
                <w:rFonts w:hint="eastAsia" w:ascii="宋体" w:hAnsi="宋体"/>
              </w:rPr>
            </w:pPr>
            <w:r>
              <w:rPr>
                <w:rFonts w:hint="eastAsia" w:ascii="宋体" w:hAnsi="宋体"/>
              </w:rPr>
              <w:t>2.设备需全新、完好、无破损，产品到货后，招标人现场根据招标文件要求、投标文件承诺以及</w:t>
            </w:r>
            <w:r>
              <w:rPr>
                <w:rFonts w:hint="eastAsia" w:ascii="宋体" w:hAnsi="宋体"/>
                <w:szCs w:val="21"/>
              </w:rPr>
              <w:t>国家相关标准、厂方标准进行验收</w:t>
            </w:r>
            <w:r>
              <w:rPr>
                <w:rFonts w:hint="eastAsia" w:ascii="宋体" w:hAnsi="宋体"/>
              </w:rPr>
              <w:t>，必要时，招标人有权邀请国家质量监督检验部门或国家认可的检测机构参与共同验收。如产品不满足招标文件要求、中标人投标承诺或国家、行业强制执行的相关质量标准要求以及</w:t>
            </w:r>
            <w:r>
              <w:rPr>
                <w:rFonts w:hint="eastAsia" w:ascii="宋体" w:hAnsi="宋体"/>
                <w:szCs w:val="21"/>
              </w:rPr>
              <w:t>产品制造厂家合格产品的出厂质量标准</w:t>
            </w:r>
            <w:r>
              <w:rPr>
                <w:rFonts w:hint="eastAsia" w:ascii="宋体" w:hAnsi="宋体"/>
              </w:rPr>
              <w:t>，招标人有权终止合同执行并全部退货，由此造成招标人的经济损失由中标人承担全部赔偿责任。</w:t>
            </w:r>
          </w:p>
          <w:p w14:paraId="2773674D">
            <w:pPr>
              <w:adjustRightInd w:val="0"/>
              <w:snapToGrid w:val="0"/>
              <w:spacing w:line="360" w:lineRule="exact"/>
              <w:rPr>
                <w:rFonts w:ascii="宋体" w:hAnsi="宋体"/>
              </w:rPr>
            </w:pPr>
            <w:r>
              <w:rPr>
                <w:rFonts w:hint="eastAsia" w:ascii="宋体" w:hAnsi="宋体"/>
                <w:spacing w:val="-2"/>
                <w:szCs w:val="21"/>
              </w:rPr>
              <w:t>3.中标人</w:t>
            </w:r>
            <w:r>
              <w:rPr>
                <w:rFonts w:hint="eastAsia" w:ascii="宋体" w:hAnsi="宋体"/>
              </w:rPr>
              <w:t>必须于供货时向招标人提供所投医疗器械产品由行政主管部门核准资格文件、产品注册时的检测检验报告书，产品彩页（或参数说明书），产品白皮书（如有）等资料，以便核实相关技术参数，否则不予验收。</w:t>
            </w:r>
          </w:p>
        </w:tc>
      </w:tr>
      <w:tr w14:paraId="7F035DA4">
        <w:tblPrEx>
          <w:tblCellMar>
            <w:top w:w="0" w:type="dxa"/>
            <w:left w:w="108" w:type="dxa"/>
            <w:bottom w:w="0" w:type="dxa"/>
            <w:right w:w="108" w:type="dxa"/>
          </w:tblCellMar>
        </w:tblPrEx>
        <w:trPr>
          <w:trHeight w:val="2078" w:hRule="atLeast"/>
        </w:trPr>
        <w:tc>
          <w:tcPr>
            <w:tcW w:w="1311" w:type="dxa"/>
            <w:gridSpan w:val="2"/>
            <w:tcBorders>
              <w:top w:val="single" w:color="auto" w:sz="4" w:space="0"/>
              <w:left w:val="single" w:color="auto" w:sz="4" w:space="0"/>
              <w:bottom w:val="single" w:color="auto" w:sz="4" w:space="0"/>
              <w:right w:val="single" w:color="auto" w:sz="4" w:space="0"/>
            </w:tcBorders>
            <w:noWrap w:val="0"/>
            <w:vAlign w:val="center"/>
          </w:tcPr>
          <w:p w14:paraId="4BBB6894">
            <w:pPr>
              <w:adjustRightInd w:val="0"/>
              <w:snapToGrid w:val="0"/>
              <w:spacing w:line="360" w:lineRule="exact"/>
              <w:jc w:val="center"/>
              <w:textAlignment w:val="center"/>
              <w:rPr>
                <w:rFonts w:ascii="宋体" w:hAnsi="宋体"/>
                <w:b/>
                <w:szCs w:val="21"/>
              </w:rPr>
            </w:pPr>
            <w:r>
              <w:rPr>
                <w:rFonts w:hint="eastAsia" w:ascii="宋体" w:hAnsi="宋体"/>
                <w:b/>
                <w:szCs w:val="21"/>
              </w:rPr>
              <w:t>三、其他要求</w:t>
            </w:r>
          </w:p>
        </w:tc>
        <w:tc>
          <w:tcPr>
            <w:tcW w:w="7586" w:type="dxa"/>
            <w:gridSpan w:val="2"/>
            <w:tcBorders>
              <w:top w:val="single" w:color="auto" w:sz="4" w:space="0"/>
              <w:left w:val="single" w:color="auto" w:sz="4" w:space="0"/>
              <w:bottom w:val="single" w:color="auto" w:sz="4" w:space="0"/>
              <w:right w:val="single" w:color="auto" w:sz="4" w:space="0"/>
            </w:tcBorders>
            <w:noWrap w:val="0"/>
            <w:vAlign w:val="center"/>
          </w:tcPr>
          <w:p w14:paraId="0B8EC3BB">
            <w:pPr>
              <w:adjustRightInd w:val="0"/>
              <w:snapToGrid w:val="0"/>
              <w:spacing w:line="360" w:lineRule="exact"/>
              <w:textAlignment w:val="center"/>
              <w:rPr>
                <w:rFonts w:hint="eastAsia" w:ascii="宋体" w:hAnsi="宋体"/>
                <w:b/>
                <w:szCs w:val="21"/>
              </w:rPr>
            </w:pPr>
            <w:r>
              <w:rPr>
                <w:rFonts w:hint="eastAsia" w:ascii="宋体" w:hAnsi="宋体"/>
                <w:szCs w:val="21"/>
              </w:rPr>
              <w:t>1.</w:t>
            </w:r>
            <w:r>
              <w:rPr>
                <w:rFonts w:hint="eastAsia" w:ascii="宋体" w:hAnsi="宋体" w:cs="宋体"/>
                <w:szCs w:val="21"/>
              </w:rPr>
              <w:t>报价供应商根据本项目采购需求及自身情况，可于报价文件中提供相应的售后服务方案，包含但不限于：①故障出现解决方案；②免费技术培训方案；③免费保修期外维修方案；④其它优惠方案等。</w:t>
            </w:r>
          </w:p>
          <w:p w14:paraId="0A58C310">
            <w:pPr>
              <w:adjustRightInd w:val="0"/>
              <w:snapToGrid w:val="0"/>
              <w:spacing w:line="360" w:lineRule="exact"/>
              <w:rPr>
                <w:rFonts w:ascii="宋体" w:hAnsi="宋体"/>
                <w:b/>
                <w:szCs w:val="21"/>
              </w:rPr>
            </w:pPr>
            <w:r>
              <w:rPr>
                <w:rFonts w:hint="eastAsia" w:ascii="宋体" w:hAnsi="宋体"/>
                <w:bCs/>
                <w:szCs w:val="21"/>
              </w:rPr>
              <w:t>2.报价供应商于报价文件中必须提供所投医疗设备相应完整有效的《医疗器械产品注册证》复印件，否则，按响应无效处理。</w:t>
            </w:r>
          </w:p>
        </w:tc>
      </w:tr>
      <w:tr w14:paraId="74AD6D2F">
        <w:tblPrEx>
          <w:tblCellMar>
            <w:top w:w="0" w:type="dxa"/>
            <w:left w:w="108" w:type="dxa"/>
            <w:bottom w:w="0" w:type="dxa"/>
            <w:right w:w="108" w:type="dxa"/>
          </w:tblCellMar>
        </w:tblPrEx>
        <w:trPr>
          <w:trHeight w:val="2078" w:hRule="atLeast"/>
        </w:trPr>
        <w:tc>
          <w:tcPr>
            <w:tcW w:w="8897" w:type="dxa"/>
            <w:gridSpan w:val="4"/>
            <w:tcBorders>
              <w:top w:val="single" w:color="auto" w:sz="4" w:space="0"/>
              <w:left w:val="single" w:color="auto" w:sz="4" w:space="0"/>
              <w:bottom w:val="single" w:color="auto" w:sz="4" w:space="0"/>
              <w:right w:val="single" w:color="auto" w:sz="4" w:space="0"/>
            </w:tcBorders>
            <w:noWrap w:val="0"/>
            <w:vAlign w:val="center"/>
          </w:tcPr>
          <w:p w14:paraId="093D2889">
            <w:pPr>
              <w:adjustRightInd w:val="0"/>
              <w:snapToGrid w:val="0"/>
              <w:spacing w:line="360" w:lineRule="exact"/>
              <w:rPr>
                <w:rFonts w:ascii="宋体" w:hAnsi="宋体"/>
                <w:b/>
                <w:szCs w:val="21"/>
              </w:rPr>
            </w:pPr>
            <w:r>
              <w:rPr>
                <w:rFonts w:hint="eastAsia" w:ascii="宋体" w:hAnsi="宋体"/>
                <w:b/>
                <w:szCs w:val="21"/>
              </w:rPr>
              <w:t>注：</w:t>
            </w:r>
          </w:p>
          <w:p w14:paraId="50563F4F">
            <w:pPr>
              <w:adjustRightInd w:val="0"/>
              <w:snapToGrid w:val="0"/>
              <w:spacing w:line="360" w:lineRule="exact"/>
              <w:rPr>
                <w:rFonts w:ascii="宋体" w:hAnsi="宋体"/>
                <w:b/>
                <w:szCs w:val="21"/>
              </w:rPr>
            </w:pPr>
            <w:r>
              <w:rPr>
                <w:rFonts w:hint="eastAsia" w:ascii="宋体" w:hAnsi="宋体"/>
                <w:b/>
                <w:szCs w:val="21"/>
              </w:rPr>
              <w:t>1.本项目“采购需求”中标注“</w:t>
            </w:r>
            <w:r>
              <w:rPr>
                <w:rFonts w:hint="eastAsia" w:ascii="仿宋" w:hAnsi="仿宋" w:eastAsia="仿宋" w:cs="仿宋"/>
                <w:kern w:val="0"/>
                <w:sz w:val="24"/>
              </w:rPr>
              <w:t>★</w:t>
            </w:r>
            <w:r>
              <w:rPr>
                <w:rFonts w:hint="eastAsia" w:ascii="宋体" w:hAnsi="宋体"/>
                <w:b/>
                <w:szCs w:val="21"/>
              </w:rPr>
              <w:t>”条款为实质性要求，若有一项负偏离，按响应无效处理。</w:t>
            </w:r>
          </w:p>
          <w:p w14:paraId="1735A442">
            <w:pPr>
              <w:adjustRightInd w:val="0"/>
              <w:snapToGrid w:val="0"/>
              <w:spacing w:line="360" w:lineRule="exact"/>
              <w:rPr>
                <w:rFonts w:hint="eastAsia" w:ascii="宋体" w:hAnsi="宋体"/>
                <w:b/>
                <w:szCs w:val="21"/>
              </w:rPr>
            </w:pPr>
            <w:r>
              <w:rPr>
                <w:rFonts w:hint="eastAsia" w:ascii="宋体" w:hAnsi="宋体"/>
                <w:b/>
                <w:szCs w:val="21"/>
              </w:rPr>
              <w:t>2.本项目“</w:t>
            </w:r>
            <w:r>
              <w:rPr>
                <w:rFonts w:hint="eastAsia" w:ascii="宋体" w:hAnsi="宋体" w:cs="宋体"/>
                <w:b/>
                <w:bCs/>
                <w:kern w:val="0"/>
                <w:szCs w:val="21"/>
              </w:rPr>
              <w:t>技术参数要求</w:t>
            </w:r>
            <w:r>
              <w:rPr>
                <w:rFonts w:hint="eastAsia" w:ascii="宋体" w:hAnsi="宋体"/>
                <w:b/>
                <w:szCs w:val="21"/>
              </w:rPr>
              <w:t>”中未标注“</w:t>
            </w:r>
            <w:r>
              <w:rPr>
                <w:rFonts w:hint="eastAsia" w:ascii="仿宋" w:hAnsi="仿宋" w:eastAsia="仿宋" w:cs="仿宋"/>
                <w:kern w:val="0"/>
                <w:sz w:val="24"/>
              </w:rPr>
              <w:t>★</w:t>
            </w:r>
            <w:r>
              <w:rPr>
                <w:rFonts w:hint="eastAsia" w:ascii="宋体" w:hAnsi="宋体"/>
                <w:b/>
                <w:szCs w:val="21"/>
              </w:rPr>
              <w:t>”条款</w:t>
            </w:r>
            <w:r>
              <w:rPr>
                <w:rFonts w:hint="eastAsia" w:ascii="宋体" w:hAnsi="宋体"/>
                <w:b/>
                <w:kern w:val="0"/>
                <w:szCs w:val="21"/>
              </w:rPr>
              <w:t>发生负偏离条款≥6项的，</w:t>
            </w:r>
            <w:r>
              <w:rPr>
                <w:rFonts w:hint="eastAsia" w:ascii="宋体" w:hAnsi="宋体"/>
                <w:b/>
                <w:szCs w:val="21"/>
              </w:rPr>
              <w:t>按响应无效处理。</w:t>
            </w:r>
          </w:p>
          <w:p w14:paraId="4122CAF2">
            <w:pPr>
              <w:adjustRightInd w:val="0"/>
              <w:snapToGrid w:val="0"/>
              <w:spacing w:line="360" w:lineRule="exact"/>
              <w:rPr>
                <w:rFonts w:hint="eastAsia" w:ascii="宋体" w:hAnsi="宋体"/>
                <w:bCs/>
                <w:szCs w:val="21"/>
              </w:rPr>
            </w:pPr>
            <w:r>
              <w:rPr>
                <w:rFonts w:hint="eastAsia" w:ascii="宋体" w:hAnsi="宋体"/>
                <w:b/>
                <w:color w:val="FF0000"/>
                <w:szCs w:val="21"/>
              </w:rPr>
              <w:t>3.技术指标有优于的，供应商须在响应文件中提供所投产品的有资质的第三方检测机构出具的检测报告复印件或产品说明书作为佐证，以上材料需加盖</w:t>
            </w:r>
            <w:r>
              <w:rPr>
                <w:rFonts w:hint="eastAsia" w:ascii="宋体" w:hAnsi="宋体"/>
                <w:b/>
                <w:color w:val="FF0000"/>
                <w:szCs w:val="21"/>
                <w:lang w:val="en-US" w:eastAsia="zh-CN"/>
              </w:rPr>
              <w:t>厂家及</w:t>
            </w:r>
            <w:r>
              <w:rPr>
                <w:rFonts w:hint="eastAsia" w:ascii="宋体" w:hAnsi="宋体"/>
                <w:b/>
                <w:color w:val="FF0000"/>
                <w:szCs w:val="21"/>
              </w:rPr>
              <w:t>供应商公章，否则我院有权不接受其优于。</w:t>
            </w:r>
          </w:p>
        </w:tc>
      </w:tr>
    </w:tbl>
    <w:p w14:paraId="6582D688">
      <w:pPr>
        <w:rPr>
          <w:rFonts w:hint="default"/>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C38738">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886C8F">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C886C8F">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594F9D"/>
    <w:rsid w:val="012C2953"/>
    <w:rsid w:val="08C74EF4"/>
    <w:rsid w:val="09334FA6"/>
    <w:rsid w:val="0B7D69F7"/>
    <w:rsid w:val="0F0C451E"/>
    <w:rsid w:val="1B3209BB"/>
    <w:rsid w:val="1BC83BE6"/>
    <w:rsid w:val="1D357C84"/>
    <w:rsid w:val="1F344F7D"/>
    <w:rsid w:val="20F01FCD"/>
    <w:rsid w:val="228A52D3"/>
    <w:rsid w:val="2F957AD6"/>
    <w:rsid w:val="459E49A6"/>
    <w:rsid w:val="504337B3"/>
    <w:rsid w:val="63AE518E"/>
    <w:rsid w:val="69116A79"/>
    <w:rsid w:val="7B4F5735"/>
    <w:rsid w:val="7EC620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widowControl/>
      <w:spacing w:before="100" w:beforeAutospacing="1" w:after="100" w:afterAutospacing="1"/>
      <w:jc w:val="left"/>
    </w:pPr>
    <w:rPr>
      <w:rFonts w:ascii="Calibri" w:hAnsi="宋体" w:eastAsia="宋体" w:cs="Times New Roman"/>
      <w:kern w:val="0"/>
      <w:sz w:val="24"/>
      <w:szCs w:val="24"/>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8">
    <w:name w:val="List Paragraph"/>
    <w:basedOn w:val="1"/>
    <w:qFormat/>
    <w:uiPriority w:val="34"/>
    <w:pPr>
      <w:ind w:firstLine="420" w:firstLineChars="200"/>
    </w:pPr>
  </w:style>
  <w:style w:type="paragraph" w:customStyle="1" w:styleId="9">
    <w:name w:val="**正文"/>
    <w:basedOn w:val="1"/>
    <w:qFormat/>
    <w:uiPriority w:val="0"/>
    <w:pPr>
      <w:ind w:firstLine="482"/>
    </w:pPr>
    <w:rPr>
      <w:rFonts w:ascii="宋体" w:hAnsi="宋体"/>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5271</Words>
  <Characters>6112</Characters>
  <Lines>0</Lines>
  <Paragraphs>0</Paragraphs>
  <TotalTime>1</TotalTime>
  <ScaleCrop>false</ScaleCrop>
  <LinksUpToDate>false</LinksUpToDate>
  <CharactersWithSpaces>6220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2025-02-12T09:18:00Z</dcterms:created>
  <dc:creator>Administrator</dc:creator>
  <cp:lastModifiedBy>夜夜无声。</cp:lastModifiedBy>
  <dcterms:modified xsi:type="dcterms:W3CDTF">2025-11-07T02:20:15Z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eyJoZGlkIjoiYzc4N2RmNjczZjg1NWViOGYwM2Q5YTc4OTg1YmU4YjYiLCJ1c2VySWQiOiIzNDU5MjU3NjkifQ==</vt:lpwstr>
  </property>
  <property fmtid="{D5CDD505-2E9C-101B-9397-08002B2CF9AE}" pid="4" name="ICV">
    <vt:lpwstr>2CD27A0949BB4247B362414443DF5152_12</vt:lpwstr>
  </property>
</Properties>
</file>