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14C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8.采购需求</w:t>
      </w:r>
    </w:p>
    <w:tbl>
      <w:tblPr>
        <w:tblStyle w:val="4"/>
        <w:tblpPr w:leftFromText="180" w:rightFromText="180" w:vertAnchor="text" w:horzAnchor="page" w:tblpX="1680" w:tblpY="435"/>
        <w:tblOverlap w:val="never"/>
        <w:tblW w:w="8897" w:type="dxa"/>
        <w:tblInd w:w="0" w:type="dxa"/>
        <w:tblLayout w:type="autofit"/>
        <w:tblCellMar>
          <w:top w:w="0" w:type="dxa"/>
          <w:left w:w="108" w:type="dxa"/>
          <w:bottom w:w="0" w:type="dxa"/>
          <w:right w:w="108" w:type="dxa"/>
        </w:tblCellMar>
      </w:tblPr>
      <w:tblGrid>
        <w:gridCol w:w="1242"/>
        <w:gridCol w:w="69"/>
        <w:gridCol w:w="6394"/>
        <w:gridCol w:w="1192"/>
      </w:tblGrid>
      <w:tr w14:paraId="6E8C5FB0">
        <w:tblPrEx>
          <w:tblCellMar>
            <w:top w:w="0" w:type="dxa"/>
            <w:left w:w="108" w:type="dxa"/>
            <w:bottom w:w="0" w:type="dxa"/>
            <w:right w:w="108" w:type="dxa"/>
          </w:tblCellMar>
        </w:tblPrEx>
        <w:trPr>
          <w:trHeight w:val="492"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593F1A75">
            <w:pPr>
              <w:widowControl/>
              <w:adjustRightInd w:val="0"/>
              <w:snapToGrid w:val="0"/>
              <w:spacing w:line="360" w:lineRule="exact"/>
              <w:rPr>
                <w:rFonts w:hint="eastAsia" w:ascii="宋体" w:hAnsi="宋体" w:cs="宋体"/>
                <w:b/>
                <w:bCs/>
                <w:kern w:val="0"/>
                <w:szCs w:val="21"/>
              </w:rPr>
            </w:pPr>
            <w:r>
              <w:rPr>
                <w:rFonts w:hint="eastAsia" w:ascii="宋体" w:hAnsi="宋体" w:cs="宋体"/>
                <w:b/>
                <w:bCs/>
                <w:kern w:val="0"/>
                <w:szCs w:val="21"/>
              </w:rPr>
              <w:t>一、采购内容及技术需求</w:t>
            </w:r>
          </w:p>
        </w:tc>
      </w:tr>
      <w:tr w14:paraId="4856AD0E">
        <w:tblPrEx>
          <w:tblCellMar>
            <w:top w:w="0" w:type="dxa"/>
            <w:left w:w="108" w:type="dxa"/>
            <w:bottom w:w="0" w:type="dxa"/>
            <w:right w:w="108" w:type="dxa"/>
          </w:tblCellMar>
        </w:tblPrEx>
        <w:trPr>
          <w:trHeight w:val="492"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4522EE3">
            <w:pPr>
              <w:adjustRightInd w:val="0"/>
              <w:snapToGrid w:val="0"/>
              <w:spacing w:line="360" w:lineRule="exact"/>
              <w:jc w:val="center"/>
              <w:rPr>
                <w:rFonts w:ascii="宋体" w:hAnsi="宋体" w:cs="宋体"/>
                <w:b/>
                <w:bCs/>
                <w:kern w:val="0"/>
                <w:szCs w:val="21"/>
              </w:rPr>
            </w:pPr>
            <w:r>
              <w:rPr>
                <w:rFonts w:ascii="宋体" w:hAnsi="宋体" w:cs="宋体"/>
                <w:b/>
                <w:bCs/>
                <w:kern w:val="0"/>
                <w:szCs w:val="21"/>
              </w:rPr>
              <w:t>名称</w:t>
            </w:r>
          </w:p>
        </w:tc>
        <w:tc>
          <w:tcPr>
            <w:tcW w:w="6463" w:type="dxa"/>
            <w:gridSpan w:val="2"/>
            <w:tcBorders>
              <w:top w:val="single" w:color="auto" w:sz="4" w:space="0"/>
              <w:left w:val="nil"/>
              <w:bottom w:val="single" w:color="auto" w:sz="4" w:space="0"/>
              <w:right w:val="single" w:color="auto" w:sz="4" w:space="0"/>
            </w:tcBorders>
            <w:noWrap w:val="0"/>
            <w:vAlign w:val="center"/>
          </w:tcPr>
          <w:p w14:paraId="103951B8">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详细技术及配置要求，实质性要求，必须满足的条款标注</w:t>
            </w:r>
            <w:r>
              <w:rPr>
                <w:rFonts w:hint="eastAsia" w:ascii="宋体" w:hAnsi="宋体" w:cs="宋体"/>
                <w:szCs w:val="21"/>
              </w:rPr>
              <w:t>★</w:t>
            </w:r>
          </w:p>
        </w:tc>
        <w:tc>
          <w:tcPr>
            <w:tcW w:w="1192" w:type="dxa"/>
            <w:tcBorders>
              <w:top w:val="single" w:color="auto" w:sz="4" w:space="0"/>
              <w:left w:val="nil"/>
              <w:bottom w:val="single" w:color="auto" w:sz="4" w:space="0"/>
              <w:right w:val="single" w:color="auto" w:sz="4" w:space="0"/>
            </w:tcBorders>
            <w:noWrap w:val="0"/>
            <w:vAlign w:val="center"/>
          </w:tcPr>
          <w:p w14:paraId="524506ED">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数量</w:t>
            </w:r>
          </w:p>
        </w:tc>
      </w:tr>
      <w:tr w14:paraId="791EA2B7">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7218655">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（一）</w:t>
            </w:r>
          </w:p>
          <w:p w14:paraId="6DD1B34F">
            <w:pPr>
              <w:spacing w:line="520" w:lineRule="exact"/>
              <w:jc w:val="center"/>
              <w:rPr>
                <w:rFonts w:hint="eastAsia" w:ascii="宋体" w:hAnsi="宋体" w:eastAsia="仿宋" w:cs="宋体"/>
                <w:b/>
                <w:bCs/>
                <w:sz w:val="28"/>
                <w:szCs w:val="28"/>
                <w:lang w:eastAsia="zh-CN"/>
              </w:rPr>
            </w:pPr>
            <w:r>
              <w:rPr>
                <w:rFonts w:hint="eastAsia" w:ascii="仿宋" w:hAnsi="仿宋" w:eastAsia="仿宋" w:cs="宋体"/>
                <w:b/>
                <w:bCs/>
                <w:sz w:val="28"/>
                <w:szCs w:val="28"/>
                <w:lang w:val="en-US" w:eastAsia="zh-CN"/>
              </w:rPr>
              <w:t>酶联免疫分析仪（酶标仪）</w:t>
            </w:r>
          </w:p>
        </w:tc>
        <w:tc>
          <w:tcPr>
            <w:tcW w:w="6463" w:type="dxa"/>
            <w:gridSpan w:val="2"/>
            <w:tcBorders>
              <w:top w:val="single" w:color="auto" w:sz="4" w:space="0"/>
              <w:left w:val="nil"/>
              <w:bottom w:val="single" w:color="auto" w:sz="4" w:space="0"/>
              <w:right w:val="single" w:color="auto" w:sz="4" w:space="0"/>
            </w:tcBorders>
            <w:noWrap w:val="0"/>
            <w:vAlign w:val="center"/>
          </w:tcPr>
          <w:p w14:paraId="7B6554F3">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光源：石英卤素灯</w:t>
            </w:r>
          </w:p>
          <w:p w14:paraId="10A77E42">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检测通路：单光路检测，空白和背景参比通道；波长范围：340-850nm；读数范围：0-6 Abs</w:t>
            </w:r>
          </w:p>
          <w:p w14:paraId="7D86F991">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滤光片：8位滤光片轮，标配三块滤光片：405、450、620nm；还可以加配五块滤光片标配振荡器，线性震荡(三档速度可调)。按键显示：高分辨彩色液晶显示，图形化界面，支持中文在内的多国语言。可仪器单独使用操作也可通过电脑软件操作</w:t>
            </w:r>
          </w:p>
          <w:p w14:paraId="0A1F157B">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准确性（405nm）：±1% (0-3Abs)，±2%（3-4Abs）</w:t>
            </w:r>
          </w:p>
          <w:p w14:paraId="38E48DC5">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精确性（405nm）：CV ≤ 0.2% (0 - 3 Abs), CV ≤ 1.0% (3 - 4 Abs)，标准测量模式</w:t>
            </w:r>
          </w:p>
          <w:p w14:paraId="45C5A7A5">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 xml:space="preserve">、 分辨率： 0.001Abs  </w:t>
            </w:r>
          </w:p>
          <w:p w14:paraId="1422E214">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、线性范围：0-3Abs,96孔板，快速测量模式；0-4Abs,96孔板，标准测量模式</w:t>
            </w:r>
          </w:p>
          <w:p w14:paraId="6B3BE7A6">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测量速度：≤ 6 s，96 孔板，快速测量模式；≤ 12 s，96 孔板，标准测量模式；</w:t>
            </w:r>
          </w:p>
          <w:p w14:paraId="7DEACCB6">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适用板型：96孔板(温控款可检测384孔板)</w:t>
            </w:r>
          </w:p>
          <w:p w14:paraId="2445C8EA">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0.</w:t>
            </w:r>
            <w:r>
              <w:rPr>
                <w:rFonts w:hint="eastAsia" w:asciiTheme="minorEastAsia" w:hAnsiTheme="minorEastAsia" w:eastAsiaTheme="minorEastAsia" w:cstheme="minorEastAsia"/>
                <w:kern w:val="0"/>
                <w:sz w:val="21"/>
                <w:szCs w:val="21"/>
              </w:rPr>
              <w:t xml:space="preserve">数据存储：仪器内可存储100个测量程序和100组测量结果，数据可通过USB接口导出，具有3个USB接口分别连接电脑、U盘、打印机   </w:t>
            </w:r>
          </w:p>
          <w:p w14:paraId="673FEF34">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外形尺寸(mm)：≤250mm（H）×320mm（W）×450mm（D）</w:t>
            </w:r>
          </w:p>
        </w:tc>
        <w:tc>
          <w:tcPr>
            <w:tcW w:w="1192" w:type="dxa"/>
            <w:tcBorders>
              <w:top w:val="single" w:color="auto" w:sz="4" w:space="0"/>
              <w:left w:val="nil"/>
              <w:bottom w:val="single" w:color="auto" w:sz="4" w:space="0"/>
              <w:right w:val="single" w:color="auto" w:sz="4" w:space="0"/>
            </w:tcBorders>
            <w:noWrap w:val="0"/>
            <w:vAlign w:val="center"/>
          </w:tcPr>
          <w:p w14:paraId="2D465F0B">
            <w:pPr>
              <w:adjustRightInd w:val="0"/>
              <w:snapToGrid w:val="0"/>
              <w:spacing w:line="360" w:lineRule="exact"/>
              <w:jc w:val="center"/>
              <w:rPr>
                <w:rFonts w:hint="eastAsia" w:ascii="仿宋" w:hAnsi="仿宋" w:eastAsia="仿宋" w:cs="Arial"/>
                <w:b/>
                <w:bCs/>
                <w:color w:val="000000"/>
                <w:kern w:val="0"/>
                <w:sz w:val="24"/>
                <w:lang w:eastAsia="zh-CN"/>
              </w:rPr>
            </w:pPr>
            <w:r>
              <w:rPr>
                <w:rFonts w:hint="eastAsia" w:ascii="仿宋" w:hAnsi="仿宋" w:eastAsia="仿宋" w:cs="Arial"/>
                <w:b/>
                <w:bCs/>
                <w:color w:val="000000"/>
                <w:kern w:val="0"/>
                <w:sz w:val="24"/>
              </w:rPr>
              <w:t>1</w:t>
            </w:r>
            <w:r>
              <w:rPr>
                <w:rFonts w:hint="eastAsia" w:ascii="仿宋" w:hAnsi="仿宋" w:eastAsia="仿宋" w:cs="Arial"/>
                <w:b/>
                <w:bCs/>
                <w:color w:val="000000"/>
                <w:kern w:val="0"/>
                <w:sz w:val="24"/>
                <w:lang w:val="en-US" w:eastAsia="zh-CN"/>
              </w:rPr>
              <w:t>台</w:t>
            </w:r>
          </w:p>
        </w:tc>
      </w:tr>
      <w:tr w14:paraId="58FCA46D">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2B3893">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（二）</w:t>
            </w:r>
          </w:p>
          <w:p w14:paraId="6B5EDDDC">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lang w:val="en-US" w:eastAsia="zh-CN"/>
              </w:rPr>
              <w:t>三气培养箱</w:t>
            </w:r>
          </w:p>
        </w:tc>
        <w:tc>
          <w:tcPr>
            <w:tcW w:w="6463" w:type="dxa"/>
            <w:gridSpan w:val="2"/>
            <w:tcBorders>
              <w:top w:val="single" w:color="auto" w:sz="4" w:space="0"/>
              <w:left w:val="nil"/>
              <w:bottom w:val="single" w:color="auto" w:sz="4" w:space="0"/>
              <w:right w:val="single" w:color="auto" w:sz="4" w:space="0"/>
            </w:tcBorders>
            <w:shd w:val="clear" w:color="auto" w:fill="FFFFFF"/>
            <w:noWrap w:val="0"/>
            <w:vAlign w:val="center"/>
          </w:tcPr>
          <w:p w14:paraId="1A7C7670">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.温度</w:t>
            </w:r>
          </w:p>
          <w:p w14:paraId="23BC7CA9">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1.1 </w:t>
            </w:r>
            <w:r>
              <w:rPr>
                <w:rFonts w:hint="eastAsia" w:asciiTheme="minorEastAsia" w:hAnsiTheme="minorEastAsia" w:eastAsiaTheme="minorEastAsia" w:cstheme="minorEastAsia"/>
                <w:kern w:val="0"/>
                <w:sz w:val="21"/>
                <w:szCs w:val="21"/>
              </w:rPr>
              <w:t xml:space="preserve">温度范围：室温+3～55℃          </w:t>
            </w:r>
          </w:p>
          <w:p w14:paraId="0FE06589">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1.2 </w:t>
            </w:r>
            <w:r>
              <w:rPr>
                <w:rFonts w:hint="eastAsia" w:asciiTheme="minorEastAsia" w:hAnsiTheme="minorEastAsia" w:eastAsiaTheme="minorEastAsia" w:cstheme="minorEastAsia"/>
                <w:kern w:val="0"/>
                <w:sz w:val="21"/>
                <w:szCs w:val="21"/>
              </w:rPr>
              <w:t xml:space="preserve">温度控制精度：±0.1℃　 </w:t>
            </w:r>
          </w:p>
          <w:p w14:paraId="302CBB3E">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1.3 </w:t>
            </w:r>
            <w:r>
              <w:rPr>
                <w:rFonts w:hint="eastAsia" w:asciiTheme="minorEastAsia" w:hAnsiTheme="minorEastAsia" w:eastAsiaTheme="minorEastAsia" w:cstheme="minorEastAsia"/>
                <w:kern w:val="0"/>
                <w:sz w:val="21"/>
                <w:szCs w:val="21"/>
              </w:rPr>
              <w:t xml:space="preserve">温度精度：±0.1℃　             </w:t>
            </w:r>
          </w:p>
          <w:p w14:paraId="7BAD5999">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 xml:space="preserve">1.4 </w:t>
            </w:r>
            <w:r>
              <w:rPr>
                <w:rFonts w:hint="eastAsia" w:asciiTheme="minorEastAsia" w:hAnsiTheme="minorEastAsia" w:eastAsiaTheme="minorEastAsia" w:cstheme="minorEastAsia"/>
                <w:kern w:val="0"/>
                <w:sz w:val="21"/>
                <w:szCs w:val="21"/>
              </w:rPr>
              <w:t>加温方式：水套式加热</w:t>
            </w:r>
          </w:p>
          <w:p w14:paraId="47539DD6">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1.5 </w:t>
            </w:r>
            <w:r>
              <w:rPr>
                <w:rFonts w:hint="eastAsia" w:asciiTheme="minorEastAsia" w:hAnsiTheme="minorEastAsia" w:eastAsiaTheme="minorEastAsia" w:cstheme="minorEastAsia"/>
                <w:kern w:val="0"/>
                <w:sz w:val="21"/>
                <w:szCs w:val="21"/>
              </w:rPr>
              <w:t xml:space="preserve">温控方式：数字PID控制 </w:t>
            </w:r>
          </w:p>
          <w:p w14:paraId="71845263">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．二氧化碳</w:t>
            </w:r>
          </w:p>
          <w:p w14:paraId="7D25BCB8">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2.1 </w:t>
            </w:r>
            <w:r>
              <w:rPr>
                <w:rFonts w:hint="eastAsia" w:asciiTheme="minorEastAsia" w:hAnsiTheme="minorEastAsia" w:eastAsiaTheme="minorEastAsia" w:cstheme="minorEastAsia"/>
                <w:kern w:val="0"/>
                <w:sz w:val="21"/>
                <w:szCs w:val="21"/>
              </w:rPr>
              <w:t xml:space="preserve">CO2范围： 0-19.9%              </w:t>
            </w:r>
          </w:p>
          <w:p w14:paraId="21A77D36">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2.2 </w:t>
            </w:r>
            <w:r>
              <w:rPr>
                <w:rFonts w:hint="eastAsia" w:asciiTheme="minorEastAsia" w:hAnsiTheme="minorEastAsia" w:eastAsiaTheme="minorEastAsia" w:cstheme="minorEastAsia"/>
                <w:kern w:val="0"/>
                <w:sz w:val="21"/>
                <w:szCs w:val="21"/>
              </w:rPr>
              <w:t>CO2控制精度：±0.1%</w:t>
            </w:r>
          </w:p>
          <w:p w14:paraId="57605869">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2.3 </w:t>
            </w:r>
            <w:r>
              <w:rPr>
                <w:rFonts w:hint="eastAsia" w:asciiTheme="minorEastAsia" w:hAnsiTheme="minorEastAsia" w:eastAsiaTheme="minorEastAsia" w:cstheme="minorEastAsia"/>
                <w:kern w:val="0"/>
                <w:sz w:val="21"/>
                <w:szCs w:val="21"/>
              </w:rPr>
              <w:t>CO2传感器：热感T/C</w:t>
            </w:r>
          </w:p>
          <w:p w14:paraId="40405B07">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.氧气</w:t>
            </w:r>
          </w:p>
          <w:p w14:paraId="101C4D24">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3.1 </w:t>
            </w:r>
            <w:r>
              <w:rPr>
                <w:rFonts w:hint="eastAsia" w:asciiTheme="minorEastAsia" w:hAnsiTheme="minorEastAsia" w:eastAsiaTheme="minorEastAsia" w:cstheme="minorEastAsia"/>
                <w:kern w:val="0"/>
                <w:sz w:val="21"/>
                <w:szCs w:val="21"/>
              </w:rPr>
              <w:t xml:space="preserve">O2范围： 1-89%                  </w:t>
            </w:r>
          </w:p>
          <w:p w14:paraId="1C8422D7">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3.2</w:t>
            </w:r>
            <w:r>
              <w:rPr>
                <w:rFonts w:hint="eastAsia" w:asciiTheme="minorEastAsia" w:hAnsiTheme="minorEastAsia" w:eastAsiaTheme="minorEastAsia" w:cstheme="minorEastAsia"/>
                <w:kern w:val="0"/>
                <w:sz w:val="21"/>
                <w:szCs w:val="21"/>
              </w:rPr>
              <w:t xml:space="preserve"> O2控制精度：±0.5%    </w:t>
            </w:r>
          </w:p>
          <w:p w14:paraId="608F1902">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3.3 </w:t>
            </w:r>
            <w:r>
              <w:rPr>
                <w:rFonts w:hint="eastAsia" w:asciiTheme="minorEastAsia" w:hAnsiTheme="minorEastAsia" w:eastAsiaTheme="minorEastAsia" w:cstheme="minorEastAsia"/>
                <w:kern w:val="0"/>
                <w:sz w:val="21"/>
                <w:szCs w:val="21"/>
              </w:rPr>
              <w:t xml:space="preserve">O2控制方式：ON-OFF控制          </w:t>
            </w:r>
          </w:p>
          <w:p w14:paraId="340ABD54">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3.4 </w:t>
            </w:r>
            <w:r>
              <w:rPr>
                <w:rFonts w:hint="eastAsia" w:asciiTheme="minorEastAsia" w:hAnsiTheme="minorEastAsia" w:eastAsiaTheme="minorEastAsia" w:cstheme="minorEastAsia"/>
                <w:kern w:val="0"/>
                <w:sz w:val="21"/>
                <w:szCs w:val="21"/>
              </w:rPr>
              <w:t xml:space="preserve">传感器: 原电池式    </w:t>
            </w:r>
          </w:p>
          <w:p w14:paraId="6F1331C0">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 湿度系统</w:t>
            </w:r>
          </w:p>
          <w:p w14:paraId="28F650A0">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4.1 </w:t>
            </w:r>
            <w:r>
              <w:rPr>
                <w:rFonts w:hint="eastAsia" w:asciiTheme="minorEastAsia" w:hAnsiTheme="minorEastAsia" w:eastAsiaTheme="minorEastAsia" w:cstheme="minorEastAsia"/>
                <w:kern w:val="0"/>
                <w:sz w:val="21"/>
                <w:szCs w:val="21"/>
              </w:rPr>
              <w:t xml:space="preserve">湿度范围： 95±3% @ 37℃         </w:t>
            </w:r>
          </w:p>
          <w:p w14:paraId="04FA4240">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4.2 </w:t>
            </w:r>
            <w:r>
              <w:rPr>
                <w:rFonts w:hint="eastAsia" w:asciiTheme="minorEastAsia" w:hAnsiTheme="minorEastAsia" w:eastAsiaTheme="minorEastAsia" w:cstheme="minorEastAsia"/>
                <w:kern w:val="0"/>
                <w:sz w:val="21"/>
                <w:szCs w:val="21"/>
              </w:rPr>
              <w:t>加湿方式：加湿托盘自然蒸发方式</w:t>
            </w:r>
          </w:p>
          <w:p w14:paraId="46664252">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.内部环境:</w:t>
            </w:r>
          </w:p>
          <w:p w14:paraId="04DF7F91">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 xml:space="preserve">5.1 </w:t>
            </w:r>
            <w:r>
              <w:rPr>
                <w:rFonts w:hint="eastAsia" w:asciiTheme="minorEastAsia" w:hAnsiTheme="minorEastAsia" w:eastAsiaTheme="minorEastAsia" w:cstheme="minorEastAsia"/>
                <w:kern w:val="0"/>
                <w:sz w:val="21"/>
                <w:szCs w:val="21"/>
              </w:rPr>
              <w:t>内部容量：</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 xml:space="preserve">57L               </w:t>
            </w:r>
          </w:p>
          <w:p w14:paraId="59886B04">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 xml:space="preserve">5.2 </w:t>
            </w:r>
            <w:r>
              <w:rPr>
                <w:rFonts w:hint="eastAsia" w:asciiTheme="minorEastAsia" w:hAnsiTheme="minorEastAsia" w:eastAsiaTheme="minorEastAsia" w:cstheme="minorEastAsia"/>
                <w:kern w:val="0"/>
                <w:sz w:val="21"/>
                <w:szCs w:val="21"/>
              </w:rPr>
              <w:t>空气清洁：空气过滤器(HEPA)</w:t>
            </w:r>
          </w:p>
          <w:p w14:paraId="6FA4A77C">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5.3 </w:t>
            </w:r>
            <w:r>
              <w:rPr>
                <w:rFonts w:hint="eastAsia" w:asciiTheme="minorEastAsia" w:hAnsiTheme="minorEastAsia" w:eastAsiaTheme="minorEastAsia" w:cstheme="minorEastAsia"/>
                <w:kern w:val="0"/>
                <w:sz w:val="21"/>
                <w:szCs w:val="21"/>
              </w:rPr>
              <w:t xml:space="preserve">搁扳数:标配3层                  </w:t>
            </w:r>
          </w:p>
          <w:p w14:paraId="14B8DD2A">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5.4</w:t>
            </w:r>
            <w:r>
              <w:rPr>
                <w:rFonts w:hint="eastAsia" w:asciiTheme="minorEastAsia" w:hAnsiTheme="minorEastAsia" w:eastAsiaTheme="minorEastAsia" w:cstheme="minorEastAsia"/>
                <w:kern w:val="0"/>
                <w:sz w:val="21"/>
                <w:szCs w:val="21"/>
              </w:rPr>
              <w:t>分隔:三玻璃小门</w:t>
            </w:r>
          </w:p>
        </w:tc>
        <w:tc>
          <w:tcPr>
            <w:tcW w:w="1192" w:type="dxa"/>
            <w:tcBorders>
              <w:top w:val="single" w:color="auto" w:sz="4" w:space="0"/>
              <w:left w:val="nil"/>
              <w:bottom w:val="single" w:color="auto" w:sz="4" w:space="0"/>
              <w:right w:val="single" w:color="auto" w:sz="4" w:space="0"/>
            </w:tcBorders>
            <w:noWrap w:val="0"/>
            <w:vAlign w:val="center"/>
          </w:tcPr>
          <w:p w14:paraId="0EAB2CC6">
            <w:pPr>
              <w:adjustRightInd w:val="0"/>
              <w:snapToGrid w:val="0"/>
              <w:spacing w:line="360" w:lineRule="exact"/>
              <w:jc w:val="center"/>
              <w:rPr>
                <w:rFonts w:ascii="仿宋" w:hAnsi="仿宋" w:eastAsia="仿宋" w:cs="Arial"/>
                <w:b/>
                <w:bCs/>
                <w:color w:val="000000"/>
                <w:kern w:val="0"/>
                <w:sz w:val="24"/>
              </w:rPr>
            </w:pPr>
            <w:r>
              <w:rPr>
                <w:rFonts w:hint="eastAsia" w:ascii="仿宋" w:hAnsi="仿宋" w:eastAsia="仿宋" w:cs="Arial"/>
                <w:b/>
                <w:bCs/>
                <w:color w:val="000000"/>
                <w:kern w:val="0"/>
                <w:sz w:val="24"/>
                <w:lang w:val="en-US" w:eastAsia="zh-CN"/>
              </w:rPr>
              <w:t>2</w:t>
            </w:r>
            <w:r>
              <w:rPr>
                <w:rFonts w:hint="eastAsia" w:ascii="仿宋" w:hAnsi="仿宋" w:eastAsia="仿宋" w:cs="Arial"/>
                <w:b/>
                <w:bCs/>
                <w:color w:val="000000"/>
                <w:kern w:val="0"/>
                <w:sz w:val="24"/>
              </w:rPr>
              <w:t>台</w:t>
            </w:r>
          </w:p>
        </w:tc>
      </w:tr>
      <w:tr w14:paraId="6B062896">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7CEE29A">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（三）</w:t>
            </w:r>
          </w:p>
          <w:p w14:paraId="38D2A884">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lang w:val="en-US" w:eastAsia="zh-CN"/>
              </w:rPr>
              <w:t>恒温混匀仪</w:t>
            </w:r>
          </w:p>
        </w:tc>
        <w:tc>
          <w:tcPr>
            <w:tcW w:w="6463" w:type="dxa"/>
            <w:gridSpan w:val="2"/>
            <w:tcBorders>
              <w:top w:val="single" w:color="auto" w:sz="4" w:space="0"/>
              <w:left w:val="nil"/>
              <w:bottom w:val="single" w:color="auto" w:sz="4" w:space="0"/>
              <w:right w:val="single" w:color="auto" w:sz="4" w:space="0"/>
            </w:tcBorders>
            <w:noWrap w:val="0"/>
            <w:vAlign w:val="center"/>
          </w:tcPr>
          <w:p w14:paraId="7E57C2EC">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1.温度设置范围： 0℃~100℃</w:t>
            </w:r>
          </w:p>
          <w:p w14:paraId="243C227E">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2.控温范围：室温以下20℃~100℃</w:t>
            </w:r>
          </w:p>
          <w:p w14:paraId="09F060D0">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3.时间设置：1min ~ 99h59min/∞</w:t>
            </w:r>
          </w:p>
          <w:p w14:paraId="1EA40CE2">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★4.控温精度：≤±0.3℃</w:t>
            </w:r>
          </w:p>
          <w:p w14:paraId="66A2148C">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5.显示精度：0.1℃  </w:t>
            </w:r>
          </w:p>
          <w:p w14:paraId="713827B5">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★6.温度均匀性：≤±0.3℃</w:t>
            </w:r>
          </w:p>
          <w:p w14:paraId="6BFEE274">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7.转速范围：200~1500Rpm      </w:t>
            </w:r>
          </w:p>
          <w:p w14:paraId="24722C47">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8.水平振幅：±3mm           </w:t>
            </w:r>
          </w:p>
          <w:p w14:paraId="40101F15">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★9.升温时间：≤12分钟（25℃升温到100℃）</w:t>
            </w:r>
          </w:p>
          <w:p w14:paraId="37FEAAAC">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★10.降温速度1：≤10分钟（100℃降至25℃）</w:t>
            </w:r>
          </w:p>
          <w:p w14:paraId="11BFE719">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★11.降温速度2： ≤15分钟（室温降至室温以下20℃）</w:t>
            </w:r>
          </w:p>
          <w:p w14:paraId="467C4EC7">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12.多点运行：支持（最大5点）</w:t>
            </w:r>
          </w:p>
          <w:p w14:paraId="26BB131B">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13.多点循环运行：支持（最大循环数99次）</w:t>
            </w:r>
          </w:p>
          <w:p w14:paraId="342BF222">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14.自动预热：支持</w:t>
            </w:r>
          </w:p>
          <w:p w14:paraId="42AB9C31">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15.开机自动运行：支持</w:t>
            </w:r>
          </w:p>
          <w:p w14:paraId="0C623D7D">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16.断电自动恢复：支持</w:t>
            </w:r>
          </w:p>
          <w:p w14:paraId="49CE01CC">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17.样品容量： ≥ 15ml*12  </w:t>
            </w:r>
          </w:p>
          <w:p w14:paraId="5740E0E8">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18.输入功率：150W</w:t>
            </w:r>
          </w:p>
          <w:p w14:paraId="46F95012">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19.电 压：AC110V~220V/50-60HZ      </w:t>
            </w:r>
          </w:p>
          <w:p w14:paraId="37303BD0">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20.熔 断 器：250V  3A  Ф5×20              </w:t>
            </w:r>
          </w:p>
          <w:p w14:paraId="4F76480B">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21.外形尺寸(mm)： ≥260x195x150 mm</w:t>
            </w:r>
          </w:p>
        </w:tc>
        <w:tc>
          <w:tcPr>
            <w:tcW w:w="1192" w:type="dxa"/>
            <w:tcBorders>
              <w:top w:val="single" w:color="auto" w:sz="4" w:space="0"/>
              <w:left w:val="nil"/>
              <w:bottom w:val="single" w:color="auto" w:sz="4" w:space="0"/>
              <w:right w:val="single" w:color="auto" w:sz="4" w:space="0"/>
            </w:tcBorders>
            <w:noWrap w:val="0"/>
            <w:vAlign w:val="center"/>
          </w:tcPr>
          <w:p w14:paraId="79564687">
            <w:pPr>
              <w:adjustRightInd w:val="0"/>
              <w:snapToGrid w:val="0"/>
              <w:spacing w:line="360" w:lineRule="exact"/>
              <w:jc w:val="center"/>
              <w:rPr>
                <w:rFonts w:hint="default"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1台</w:t>
            </w:r>
            <w:bookmarkStart w:id="0" w:name="_GoBack"/>
            <w:bookmarkEnd w:id="0"/>
          </w:p>
        </w:tc>
      </w:tr>
      <w:tr w14:paraId="64347D00">
        <w:tblPrEx>
          <w:tblCellMar>
            <w:top w:w="0" w:type="dxa"/>
            <w:left w:w="108" w:type="dxa"/>
            <w:bottom w:w="0" w:type="dxa"/>
            <w:right w:w="108" w:type="dxa"/>
          </w:tblCellMar>
        </w:tblPrEx>
        <w:trPr>
          <w:trHeight w:val="42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7034EAA2">
            <w:pPr>
              <w:adjustRightInd w:val="0"/>
              <w:snapToGrid w:val="0"/>
              <w:spacing w:line="360" w:lineRule="exact"/>
              <w:jc w:val="left"/>
              <w:rPr>
                <w:rFonts w:hint="eastAsia" w:ascii="宋体" w:hAnsi="宋体"/>
                <w:szCs w:val="21"/>
              </w:rPr>
            </w:pPr>
            <w:r>
              <w:rPr>
                <w:rFonts w:hint="eastAsia" w:ascii="宋体" w:hAnsi="宋体"/>
                <w:szCs w:val="21"/>
              </w:rPr>
              <w:t>★</w:t>
            </w:r>
            <w:r>
              <w:rPr>
                <w:rFonts w:hint="eastAsia" w:ascii="宋体" w:hAnsi="宋体"/>
                <w:b/>
                <w:bCs/>
                <w:szCs w:val="21"/>
              </w:rPr>
              <w:t>二、商务要求</w:t>
            </w:r>
          </w:p>
        </w:tc>
      </w:tr>
      <w:tr w14:paraId="74ADEB25">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5F00790B">
            <w:pPr>
              <w:adjustRightInd w:val="0"/>
              <w:snapToGrid w:val="0"/>
              <w:spacing w:line="360" w:lineRule="exact"/>
              <w:jc w:val="left"/>
              <w:rPr>
                <w:rFonts w:hint="eastAsia" w:ascii="宋体" w:hAnsi="宋体"/>
                <w:szCs w:val="21"/>
              </w:rPr>
            </w:pPr>
            <w:r>
              <w:rPr>
                <w:rFonts w:hint="eastAsia" w:ascii="宋体" w:hAnsi="宋体"/>
                <w:b/>
                <w:bCs/>
                <w:szCs w:val="21"/>
              </w:rPr>
              <w:t>（一）售后服务要求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top"/>
          </w:tcPr>
          <w:p w14:paraId="261D61F0">
            <w:pPr>
              <w:adjustRightInd w:val="0"/>
              <w:snapToGrid w:val="0"/>
              <w:spacing w:line="360" w:lineRule="exact"/>
              <w:jc w:val="left"/>
              <w:rPr>
                <w:rFonts w:hint="eastAsia" w:ascii="宋体" w:hAnsi="宋体"/>
                <w:szCs w:val="21"/>
              </w:rPr>
            </w:pPr>
            <w:r>
              <w:rPr>
                <w:rFonts w:hint="eastAsia" w:ascii="宋体" w:hAnsi="宋体"/>
                <w:szCs w:val="21"/>
              </w:rPr>
              <w:t>1.免费保修期要求：按国家有关产品“三包”规定执行“三包”，免费保修期：3年（自验收合格之日起计算）。</w:t>
            </w:r>
          </w:p>
          <w:p w14:paraId="64C8607B">
            <w:pPr>
              <w:adjustRightInd w:val="0"/>
              <w:snapToGrid w:val="0"/>
              <w:spacing w:line="360" w:lineRule="exact"/>
              <w:jc w:val="left"/>
              <w:rPr>
                <w:rFonts w:hint="eastAsia" w:ascii="宋体" w:hAnsi="宋体"/>
                <w:szCs w:val="21"/>
              </w:rPr>
            </w:pPr>
            <w:r>
              <w:rPr>
                <w:rFonts w:hint="eastAsia" w:ascii="宋体" w:hAnsi="宋体"/>
                <w:szCs w:val="21"/>
              </w:rPr>
              <w:t>2.招标范围内的货物送货上门，装卸、安装调试合格，提供技术服务及技术培训，保证采购人操作人员熟练操作设备。</w:t>
            </w:r>
          </w:p>
          <w:p w14:paraId="5B5BF004">
            <w:pPr>
              <w:adjustRightInd w:val="0"/>
              <w:snapToGrid w:val="0"/>
              <w:spacing w:line="360" w:lineRule="exact"/>
              <w:jc w:val="left"/>
              <w:rPr>
                <w:rFonts w:hint="eastAsia" w:ascii="宋体" w:hAnsi="宋体"/>
                <w:szCs w:val="21"/>
              </w:rPr>
            </w:pPr>
            <w:r>
              <w:rPr>
                <w:rFonts w:hint="eastAsia" w:ascii="宋体" w:hAnsi="宋体"/>
                <w:szCs w:val="21"/>
              </w:rPr>
              <w:t>3.免费保修期内上门提供维护服务，出现故障时，8小时内到达现场，24小时内解决故障。</w:t>
            </w:r>
          </w:p>
        </w:tc>
      </w:tr>
      <w:tr w14:paraId="19941D8A">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9B5F218">
            <w:pPr>
              <w:adjustRightInd w:val="0"/>
              <w:snapToGrid w:val="0"/>
              <w:spacing w:line="360" w:lineRule="exact"/>
              <w:jc w:val="left"/>
              <w:rPr>
                <w:rFonts w:hint="eastAsia" w:ascii="宋体" w:hAnsi="宋体"/>
                <w:b/>
                <w:bCs/>
                <w:szCs w:val="21"/>
              </w:rPr>
            </w:pPr>
            <w:r>
              <w:rPr>
                <w:rFonts w:hint="eastAsia" w:ascii="宋体" w:hAnsi="宋体"/>
                <w:b/>
                <w:bCs/>
                <w:szCs w:val="21"/>
              </w:rPr>
              <w:t>（二）</w:t>
            </w:r>
            <w:r>
              <w:rPr>
                <w:rFonts w:hint="eastAsia" w:ascii="宋体" w:hAnsi="宋体" w:cs="宋体"/>
                <w:b/>
                <w:bCs/>
                <w:kern w:val="0"/>
              </w:rPr>
              <w:t>核心产品</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4BC878B0">
            <w:pPr>
              <w:adjustRightInd w:val="0"/>
              <w:snapToGrid w:val="0"/>
              <w:spacing w:line="360" w:lineRule="exact"/>
              <w:jc w:val="left"/>
              <w:rPr>
                <w:rFonts w:hint="eastAsia" w:ascii="宋体" w:hAnsi="宋体" w:eastAsia="宋体"/>
                <w:szCs w:val="21"/>
                <w:lang w:eastAsia="zh-CN"/>
              </w:rPr>
            </w:pPr>
            <w:r>
              <w:rPr>
                <w:rFonts w:hint="eastAsia" w:ascii="宋体" w:hAnsi="宋体" w:cs="宋体"/>
                <w:b/>
                <w:bCs/>
                <w:kern w:val="0"/>
                <w:lang w:val="en-US" w:eastAsia="zh-CN"/>
              </w:rPr>
              <w:t>三气培养箱</w:t>
            </w:r>
          </w:p>
        </w:tc>
      </w:tr>
      <w:tr w14:paraId="236DA622">
        <w:tblPrEx>
          <w:tblCellMar>
            <w:top w:w="0" w:type="dxa"/>
            <w:left w:w="108" w:type="dxa"/>
            <w:bottom w:w="0" w:type="dxa"/>
            <w:right w:w="108" w:type="dxa"/>
          </w:tblCellMar>
        </w:tblPrEx>
        <w:trPr>
          <w:trHeight w:val="635"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AB9015A">
            <w:pPr>
              <w:adjustRightInd w:val="0"/>
              <w:snapToGrid w:val="0"/>
              <w:spacing w:line="360" w:lineRule="exact"/>
              <w:jc w:val="left"/>
              <w:rPr>
                <w:rFonts w:hint="eastAsia" w:ascii="宋体" w:hAnsi="宋体"/>
                <w:szCs w:val="21"/>
              </w:rPr>
            </w:pPr>
            <w:r>
              <w:rPr>
                <w:rFonts w:hint="eastAsia" w:ascii="宋体" w:hAnsi="宋体"/>
                <w:b/>
                <w:bCs/>
                <w:szCs w:val="21"/>
              </w:rPr>
              <w:t>（三）交货期及地点</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546DE1BA">
            <w:pPr>
              <w:adjustRightInd w:val="0"/>
              <w:snapToGrid w:val="0"/>
              <w:spacing w:line="360" w:lineRule="exact"/>
              <w:jc w:val="left"/>
              <w:rPr>
                <w:rFonts w:hint="eastAsia" w:ascii="宋体" w:hAnsi="宋体"/>
                <w:szCs w:val="21"/>
              </w:rPr>
            </w:pPr>
            <w:r>
              <w:rPr>
                <w:rFonts w:hint="eastAsia" w:ascii="宋体" w:hAnsi="宋体"/>
                <w:szCs w:val="21"/>
              </w:rPr>
              <w:t>1.交货期：自签订合同之日起30个日历日内交货并安装调试合格交付使用。</w:t>
            </w:r>
          </w:p>
          <w:p w14:paraId="636418C7">
            <w:pPr>
              <w:adjustRightInd w:val="0"/>
              <w:snapToGrid w:val="0"/>
              <w:spacing w:line="360" w:lineRule="exact"/>
              <w:jc w:val="left"/>
              <w:rPr>
                <w:rFonts w:hint="eastAsia" w:ascii="宋体" w:hAnsi="宋体"/>
                <w:szCs w:val="21"/>
              </w:rPr>
            </w:pPr>
            <w:r>
              <w:rPr>
                <w:rFonts w:hint="eastAsia" w:ascii="宋体" w:hAnsi="宋体"/>
                <w:szCs w:val="21"/>
              </w:rPr>
              <w:t>2.交货地点：广西桂林市招标人指定地点。</w:t>
            </w:r>
          </w:p>
        </w:tc>
      </w:tr>
      <w:tr w14:paraId="7C01284A">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341C02F1">
            <w:pPr>
              <w:adjustRightInd w:val="0"/>
              <w:snapToGrid w:val="0"/>
              <w:spacing w:line="360" w:lineRule="exact"/>
              <w:jc w:val="center"/>
              <w:rPr>
                <w:rFonts w:ascii="宋体" w:hAnsi="宋体" w:cs="宋体"/>
                <w:szCs w:val="21"/>
              </w:rPr>
            </w:pPr>
            <w:r>
              <w:rPr>
                <w:rFonts w:hint="eastAsia" w:ascii="宋体" w:hAnsi="宋体" w:cs="宋体"/>
                <w:b/>
                <w:bCs/>
                <w:szCs w:val="21"/>
              </w:rPr>
              <w:t>（四）付款方式</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87DCD88">
            <w:pPr>
              <w:adjustRightInd w:val="0"/>
              <w:snapToGrid w:val="0"/>
              <w:spacing w:line="360" w:lineRule="exact"/>
              <w:rPr>
                <w:rFonts w:hint="eastAsia"/>
                <w:szCs w:val="21"/>
              </w:rPr>
            </w:pPr>
            <w:r>
              <w:rPr>
                <w:rFonts w:hint="eastAsia" w:ascii="宋体" w:hAnsi="宋体" w:cs="宋体"/>
                <w:szCs w:val="21"/>
              </w:rPr>
              <w:t>合同签订且验收合格后三个月内首付合同价款的60%；设备运行3个月后支付合同价款的30%；剩余合同价款的10%于验收合格一年后付清（不计利息）。</w:t>
            </w:r>
          </w:p>
        </w:tc>
      </w:tr>
      <w:tr w14:paraId="73372C4D">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D4C09BC">
            <w:pPr>
              <w:adjustRightInd w:val="0"/>
              <w:snapToGrid w:val="0"/>
              <w:spacing w:line="360" w:lineRule="exact"/>
              <w:jc w:val="center"/>
              <w:rPr>
                <w:rFonts w:ascii="宋体" w:hAnsi="宋体"/>
                <w:szCs w:val="21"/>
              </w:rPr>
            </w:pPr>
            <w:r>
              <w:rPr>
                <w:rFonts w:hint="eastAsia" w:ascii="宋体" w:hAnsi="宋体"/>
                <w:b/>
                <w:bCs/>
                <w:szCs w:val="21"/>
              </w:rPr>
              <w:t>（五）验收要求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CD2ABCA">
            <w:pPr>
              <w:adjustRightInd w:val="0"/>
              <w:snapToGrid w:val="0"/>
              <w:spacing w:line="360" w:lineRule="exact"/>
              <w:rPr>
                <w:rFonts w:hint="eastAsia" w:ascii="宋体" w:hAnsi="宋体"/>
                <w:szCs w:val="21"/>
              </w:rPr>
            </w:pPr>
            <w:r>
              <w:rPr>
                <w:rFonts w:hint="eastAsia" w:ascii="宋体" w:hAnsi="宋体"/>
              </w:rPr>
              <w:t>1.中标人提供的产品必须</w:t>
            </w:r>
            <w:r>
              <w:rPr>
                <w:rFonts w:hint="eastAsia" w:ascii="宋体" w:hAnsi="宋体"/>
                <w:szCs w:val="21"/>
              </w:rPr>
              <w:t>符合</w:t>
            </w:r>
            <w:r>
              <w:rPr>
                <w:rFonts w:hint="eastAsia" w:ascii="宋体" w:hAnsi="宋体"/>
              </w:rPr>
              <w:t>国家、行业强制执行的相关质量标准要求以及</w:t>
            </w:r>
            <w:r>
              <w:rPr>
                <w:rFonts w:hint="eastAsia" w:ascii="宋体" w:hAnsi="宋体"/>
                <w:szCs w:val="21"/>
              </w:rPr>
              <w:t>产品制造厂家合格产品的出厂质量标准。</w:t>
            </w:r>
          </w:p>
          <w:p w14:paraId="4EF4F53E">
            <w:pPr>
              <w:adjustRightInd w:val="0"/>
              <w:snapToGrid w:val="0"/>
              <w:spacing w:line="360" w:lineRule="exact"/>
              <w:rPr>
                <w:rFonts w:hint="eastAsia" w:ascii="宋体" w:hAnsi="宋体"/>
              </w:rPr>
            </w:pPr>
            <w:r>
              <w:rPr>
                <w:rFonts w:hint="eastAsia" w:ascii="宋体" w:hAnsi="宋体"/>
              </w:rPr>
              <w:t>2.设备需全新、完好、无破损，产品到货后，招标人现场根据招标文件要求、投标文件承诺以及</w:t>
            </w:r>
            <w:r>
              <w:rPr>
                <w:rFonts w:hint="eastAsia" w:ascii="宋体" w:hAnsi="宋体"/>
                <w:szCs w:val="21"/>
              </w:rPr>
              <w:t>国家相关标准、厂方标准进行验收</w:t>
            </w:r>
            <w:r>
              <w:rPr>
                <w:rFonts w:hint="eastAsia" w:ascii="宋体" w:hAnsi="宋体"/>
              </w:rPr>
              <w:t>，必要时，招标人有权邀请国家质量监督检验部门或国家认可的检测机构参与共同验收。如产品不满足招标文件要求、中标人投标承诺或国家、行业强制执行的相关质量标准要求以及</w:t>
            </w:r>
            <w:r>
              <w:rPr>
                <w:rFonts w:hint="eastAsia" w:ascii="宋体" w:hAnsi="宋体"/>
                <w:szCs w:val="21"/>
              </w:rPr>
              <w:t>产品制造厂家合格产品的出厂质量标准</w:t>
            </w:r>
            <w:r>
              <w:rPr>
                <w:rFonts w:hint="eastAsia" w:ascii="宋体" w:hAnsi="宋体"/>
              </w:rPr>
              <w:t>，招标人有权终止合同执行并全部退货，由此造成招标人的经济损失由中标人承担全部赔偿责任。</w:t>
            </w:r>
          </w:p>
          <w:p w14:paraId="2773674D">
            <w:pPr>
              <w:adjustRightInd w:val="0"/>
              <w:snapToGrid w:val="0"/>
              <w:spacing w:line="360" w:lineRule="exact"/>
              <w:rPr>
                <w:rFonts w:ascii="宋体" w:hAnsi="宋体"/>
              </w:rPr>
            </w:pPr>
            <w:r>
              <w:rPr>
                <w:rFonts w:hint="eastAsia" w:ascii="宋体" w:hAnsi="宋体"/>
                <w:spacing w:val="-2"/>
                <w:szCs w:val="21"/>
              </w:rPr>
              <w:t>3.中标人</w:t>
            </w:r>
            <w:r>
              <w:rPr>
                <w:rFonts w:hint="eastAsia" w:ascii="宋体" w:hAnsi="宋体"/>
              </w:rPr>
              <w:t>必须于供货时向招标人提供所投医疗器械产品由行政主管部门核准资格文件、产品注册时的检测检验报告书，产品彩页（或参数说明书），产品白皮书（如有）等资料，以便核实相关技术参数，否则不予验收。</w:t>
            </w:r>
          </w:p>
        </w:tc>
      </w:tr>
      <w:tr w14:paraId="7F035DA4">
        <w:tblPrEx>
          <w:tblCellMar>
            <w:top w:w="0" w:type="dxa"/>
            <w:left w:w="108" w:type="dxa"/>
            <w:bottom w:w="0" w:type="dxa"/>
            <w:right w:w="108" w:type="dxa"/>
          </w:tblCellMar>
        </w:tblPrEx>
        <w:trPr>
          <w:trHeight w:val="207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4BBB6894">
            <w:pPr>
              <w:adjustRightInd w:val="0"/>
              <w:snapToGrid w:val="0"/>
              <w:spacing w:line="360" w:lineRule="exact"/>
              <w:jc w:val="center"/>
              <w:textAlignment w:val="center"/>
              <w:rPr>
                <w:rFonts w:ascii="宋体" w:hAnsi="宋体"/>
                <w:b/>
                <w:szCs w:val="21"/>
              </w:rPr>
            </w:pPr>
            <w:r>
              <w:rPr>
                <w:rFonts w:hint="eastAsia" w:ascii="宋体" w:hAnsi="宋体"/>
                <w:b/>
                <w:szCs w:val="21"/>
              </w:rPr>
              <w:t>三、其他要求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0B8EC3BB">
            <w:pPr>
              <w:adjustRightInd w:val="0"/>
              <w:snapToGrid w:val="0"/>
              <w:spacing w:line="360" w:lineRule="exact"/>
              <w:textAlignment w:val="center"/>
              <w:rPr>
                <w:rFonts w:hint="eastAsia" w:ascii="宋体" w:hAnsi="宋体"/>
                <w:b/>
                <w:szCs w:val="21"/>
              </w:rPr>
            </w:pPr>
            <w:r>
              <w:rPr>
                <w:rFonts w:hint="eastAsia" w:ascii="宋体" w:hAnsi="宋体"/>
                <w:szCs w:val="21"/>
              </w:rPr>
              <w:t>1.</w:t>
            </w:r>
            <w:r>
              <w:rPr>
                <w:rFonts w:hint="eastAsia" w:ascii="宋体" w:hAnsi="宋体" w:cs="宋体"/>
                <w:szCs w:val="21"/>
              </w:rPr>
              <w:t>报价供应商根据本项目采购需求及自身情况，可于报价文件中提供相应的售后服务方案，包含但不限于：①故障出现解决方案；②免费技术培训方案；③免费保修期外维修方案；④其它优惠方案等。</w:t>
            </w:r>
          </w:p>
          <w:p w14:paraId="0A58C310">
            <w:pPr>
              <w:adjustRightInd w:val="0"/>
              <w:snapToGrid w:val="0"/>
              <w:spacing w:line="360" w:lineRule="exact"/>
              <w:rPr>
                <w:rFonts w:ascii="宋体" w:hAnsi="宋体"/>
                <w:b/>
                <w:szCs w:val="21"/>
              </w:rPr>
            </w:pPr>
            <w:r>
              <w:rPr>
                <w:rFonts w:hint="eastAsia" w:ascii="宋体" w:hAnsi="宋体"/>
                <w:bCs/>
                <w:szCs w:val="21"/>
              </w:rPr>
              <w:t>2.报价供应商于报价文件中必须提供所投医疗设备相应完整有效的《医疗器械产品注册证》复印件，否则，按响应无效处理。</w:t>
            </w:r>
          </w:p>
        </w:tc>
      </w:tr>
      <w:tr w14:paraId="74AD6D2F">
        <w:tblPrEx>
          <w:tblCellMar>
            <w:top w:w="0" w:type="dxa"/>
            <w:left w:w="108" w:type="dxa"/>
            <w:bottom w:w="0" w:type="dxa"/>
            <w:right w:w="108" w:type="dxa"/>
          </w:tblCellMar>
        </w:tblPrEx>
        <w:trPr>
          <w:trHeight w:val="207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093D2889">
            <w:pPr>
              <w:adjustRightInd w:val="0"/>
              <w:snapToGrid w:val="0"/>
              <w:spacing w:line="360" w:lineRule="exact"/>
              <w:rPr>
                <w:rFonts w:ascii="宋体" w:hAnsi="宋体"/>
                <w:b/>
                <w:szCs w:val="21"/>
              </w:rPr>
            </w:pPr>
            <w:r>
              <w:rPr>
                <w:rFonts w:hint="eastAsia" w:ascii="宋体" w:hAnsi="宋体"/>
                <w:b/>
                <w:szCs w:val="21"/>
              </w:rPr>
              <w:t>注：</w:t>
            </w:r>
          </w:p>
          <w:p w14:paraId="50563F4F">
            <w:pPr>
              <w:adjustRightInd w:val="0"/>
              <w:snapToGrid w:val="0"/>
              <w:spacing w:line="360" w:lineRule="exact"/>
              <w:rPr>
                <w:rFonts w:ascii="宋体" w:hAnsi="宋体"/>
                <w:b/>
                <w:szCs w:val="21"/>
              </w:rPr>
            </w:pPr>
            <w:r>
              <w:rPr>
                <w:rFonts w:hint="eastAsia" w:ascii="宋体" w:hAnsi="宋体"/>
                <w:b/>
                <w:szCs w:val="21"/>
              </w:rPr>
              <w:t>1.本项目“采购需求”中标注“</w:t>
            </w:r>
            <w:r>
              <w:rPr>
                <w:rFonts w:hint="eastAsia" w:ascii="仿宋" w:hAnsi="仿宋" w:eastAsia="仿宋" w:cs="仿宋"/>
                <w:kern w:val="0"/>
                <w:sz w:val="24"/>
              </w:rPr>
              <w:t>★</w:t>
            </w:r>
            <w:r>
              <w:rPr>
                <w:rFonts w:hint="eastAsia" w:ascii="宋体" w:hAnsi="宋体"/>
                <w:b/>
                <w:szCs w:val="21"/>
              </w:rPr>
              <w:t>”条款为实质性要求，若有一项负偏离，按响应无效处理。</w:t>
            </w:r>
          </w:p>
          <w:p w14:paraId="1735A442">
            <w:pPr>
              <w:adjustRightInd w:val="0"/>
              <w:snapToGrid w:val="0"/>
              <w:spacing w:line="360" w:lineRule="exact"/>
              <w:rPr>
                <w:rFonts w:hint="eastAsia" w:ascii="宋体" w:hAnsi="宋体"/>
                <w:b/>
                <w:szCs w:val="21"/>
              </w:rPr>
            </w:pPr>
            <w:r>
              <w:rPr>
                <w:rFonts w:hint="eastAsia" w:ascii="宋体" w:hAnsi="宋体"/>
                <w:b/>
                <w:szCs w:val="21"/>
              </w:rPr>
              <w:t>2.本项目“</w:t>
            </w:r>
            <w:r>
              <w:rPr>
                <w:rFonts w:hint="eastAsia" w:ascii="宋体" w:hAnsi="宋体" w:cs="宋体"/>
                <w:b/>
                <w:bCs/>
                <w:kern w:val="0"/>
                <w:szCs w:val="21"/>
              </w:rPr>
              <w:t>技术参数要求</w:t>
            </w:r>
            <w:r>
              <w:rPr>
                <w:rFonts w:hint="eastAsia" w:ascii="宋体" w:hAnsi="宋体"/>
                <w:b/>
                <w:szCs w:val="21"/>
              </w:rPr>
              <w:t>”中未标注“</w:t>
            </w:r>
            <w:r>
              <w:rPr>
                <w:rFonts w:hint="eastAsia" w:ascii="仿宋" w:hAnsi="仿宋" w:eastAsia="仿宋" w:cs="仿宋"/>
                <w:kern w:val="0"/>
                <w:sz w:val="24"/>
              </w:rPr>
              <w:t>★</w:t>
            </w:r>
            <w:r>
              <w:rPr>
                <w:rFonts w:hint="eastAsia" w:ascii="宋体" w:hAnsi="宋体"/>
                <w:b/>
                <w:szCs w:val="21"/>
              </w:rPr>
              <w:t>”条款</w:t>
            </w:r>
            <w:r>
              <w:rPr>
                <w:rFonts w:hint="eastAsia" w:ascii="宋体" w:hAnsi="宋体"/>
                <w:b/>
                <w:kern w:val="0"/>
                <w:szCs w:val="21"/>
              </w:rPr>
              <w:t>发生负偏离条款≥6项的，</w:t>
            </w:r>
            <w:r>
              <w:rPr>
                <w:rFonts w:hint="eastAsia" w:ascii="宋体" w:hAnsi="宋体"/>
                <w:b/>
                <w:szCs w:val="21"/>
              </w:rPr>
              <w:t>按响应无效处理。</w:t>
            </w:r>
          </w:p>
          <w:p w14:paraId="4122CAF2">
            <w:pPr>
              <w:adjustRightInd w:val="0"/>
              <w:snapToGrid w:val="0"/>
              <w:spacing w:line="360" w:lineRule="exact"/>
              <w:rPr>
                <w:rFonts w:hint="eastAsia" w:ascii="宋体" w:hAnsi="宋体"/>
                <w:bCs/>
                <w:szCs w:val="21"/>
              </w:rPr>
            </w:pPr>
            <w:r>
              <w:rPr>
                <w:rFonts w:hint="eastAsia" w:ascii="宋体" w:hAnsi="宋体"/>
                <w:b/>
                <w:color w:val="FF0000"/>
                <w:szCs w:val="21"/>
              </w:rPr>
              <w:t>3.技术指标有优于的，供应商须在响应文件中提供所投产品的有资质的第三方检测机构出具的检测报告复印件或产品说明书作为佐证，以上材料需加盖</w:t>
            </w:r>
            <w:r>
              <w:rPr>
                <w:rFonts w:hint="eastAsia" w:ascii="宋体" w:hAnsi="宋体"/>
                <w:b/>
                <w:color w:val="FF0000"/>
                <w:szCs w:val="21"/>
                <w:lang w:val="en-US" w:eastAsia="zh-CN"/>
              </w:rPr>
              <w:t>厂家及</w:t>
            </w:r>
            <w:r>
              <w:rPr>
                <w:rFonts w:hint="eastAsia" w:ascii="宋体" w:hAnsi="宋体"/>
                <w:b/>
                <w:color w:val="FF0000"/>
                <w:szCs w:val="21"/>
              </w:rPr>
              <w:t>供应商公章，否则我院有权不接受其优于。</w:t>
            </w:r>
          </w:p>
        </w:tc>
      </w:tr>
    </w:tbl>
    <w:p w14:paraId="6DA80BA2">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873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86C8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86C8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F9D"/>
    <w:rsid w:val="08C74EF4"/>
    <w:rsid w:val="0B7D69F7"/>
    <w:rsid w:val="0F0C451E"/>
    <w:rsid w:val="1B3209BB"/>
    <w:rsid w:val="1BC83BE6"/>
    <w:rsid w:val="1D357C84"/>
    <w:rsid w:val="2F957AD6"/>
    <w:rsid w:val="459E49A6"/>
    <w:rsid w:val="63AE518E"/>
    <w:rsid w:val="6911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1850</Words>
  <Characters>2261</Characters>
  <Lines>0</Lines>
  <Paragraphs>0</Paragraphs>
  <TotalTime>6</TotalTime>
  <ScaleCrop>false</ScaleCrop>
  <LinksUpToDate>false</LinksUpToDate>
  <CharactersWithSpaces>2497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2025-02-12T09:18:00Z</dcterms:created>
  <dc:creator>Administrator</dc:creator>
  <cp:lastModifiedBy>郑丽燕</cp:lastModifiedBy>
  <dcterms:modified xsi:type="dcterms:W3CDTF">2025-04-30T07:48:01Z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eyJoZGlkIjoiYjU4YWYyZDRhMDE5MGE0YjhhYjk5MzVlMTg0ZmI4NGMifQ==</vt:lpwstr>
  </property>
  <property fmtid="{D5CDD505-2E9C-101B-9397-08002B2CF9AE}" pid="4" name="ICV">
    <vt:lpwstr>2CD27A0949BB4247B362414443DF5152_12</vt:lpwstr>
  </property>
</Properties>
</file>