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5"/>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钬激光</w:t>
            </w:r>
          </w:p>
        </w:tc>
        <w:tc>
          <w:tcPr>
            <w:tcW w:w="6463" w:type="dxa"/>
            <w:gridSpan w:val="2"/>
            <w:tcBorders>
              <w:top w:val="single" w:color="auto" w:sz="4" w:space="0"/>
              <w:left w:val="nil"/>
              <w:bottom w:val="single" w:color="auto" w:sz="4" w:space="0"/>
              <w:right w:val="single" w:color="auto" w:sz="4" w:space="0"/>
            </w:tcBorders>
            <w:noWrap w:val="0"/>
            <w:vAlign w:val="center"/>
          </w:tcPr>
          <w:p w14:paraId="2872F63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用于泌尿系结石的碎石，泌尿系肿瘤的汽化和凝固</w:t>
            </w:r>
          </w:p>
          <w:p w14:paraId="48C7A501">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w:t>
            </w:r>
            <w:r>
              <w:rPr>
                <w:rFonts w:hint="eastAsia" w:ascii="宋体" w:hAnsi="宋体" w:eastAsia="宋体" w:cs="Times New Roman"/>
                <w:szCs w:val="21"/>
                <w:lang w:val="en-US" w:eastAsia="zh-CN"/>
              </w:rPr>
              <w:t xml:space="preserve">工作激光输出波长：2100nm±100nm </w:t>
            </w:r>
          </w:p>
          <w:p w14:paraId="7F90832F">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3.</w:t>
            </w:r>
            <w:r>
              <w:rPr>
                <w:rFonts w:hint="eastAsia" w:ascii="宋体" w:hAnsi="宋体" w:eastAsia="宋体" w:cs="Times New Roman"/>
                <w:szCs w:val="21"/>
                <w:lang w:val="en-US" w:eastAsia="zh-CN"/>
              </w:rPr>
              <w:t>激光器工作方式：脉冲</w:t>
            </w:r>
          </w:p>
          <w:p w14:paraId="68FEF09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4.</w:t>
            </w:r>
            <w:r>
              <w:rPr>
                <w:rFonts w:hint="eastAsia" w:ascii="宋体" w:hAnsi="宋体" w:eastAsia="宋体" w:cs="Times New Roman"/>
                <w:szCs w:val="21"/>
                <w:lang w:val="en-US" w:eastAsia="zh-CN"/>
              </w:rPr>
              <w:t>光纤终端最大平均输出功率：≥75W</w:t>
            </w:r>
          </w:p>
          <w:p w14:paraId="51D4BECC">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5.</w:t>
            </w:r>
            <w:r>
              <w:rPr>
                <w:rFonts w:hint="eastAsia" w:ascii="宋体" w:hAnsi="宋体" w:eastAsia="宋体" w:cs="Times New Roman"/>
                <w:szCs w:val="21"/>
                <w:lang w:val="en-US" w:eastAsia="zh-CN"/>
              </w:rPr>
              <w:t>单脉冲能量可调，最大单脉冲能量：≥4.0J</w:t>
            </w:r>
          </w:p>
          <w:p w14:paraId="7D11111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6.</w:t>
            </w:r>
            <w:r>
              <w:rPr>
                <w:rFonts w:hint="eastAsia" w:ascii="宋体" w:hAnsi="宋体" w:eastAsia="宋体" w:cs="Times New Roman"/>
                <w:szCs w:val="21"/>
                <w:lang w:val="en-US" w:eastAsia="zh-CN"/>
              </w:rPr>
              <w:t>脉冲重复频率：≥40Hz</w:t>
            </w:r>
          </w:p>
          <w:p w14:paraId="59953A9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7.</w:t>
            </w:r>
            <w:r>
              <w:rPr>
                <w:rFonts w:hint="eastAsia" w:ascii="宋体" w:hAnsi="宋体" w:eastAsia="宋体" w:cs="Times New Roman"/>
                <w:szCs w:val="21"/>
                <w:lang w:val="en-US" w:eastAsia="zh-CN"/>
              </w:rPr>
              <w:t>脉宽可调，宽距≥350μs，具备窄脉宽（碎块化）/宽脉宽（粉末化）模式选择</w:t>
            </w:r>
          </w:p>
          <w:p w14:paraId="73A886D1">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8.</w:t>
            </w:r>
            <w:r>
              <w:rPr>
                <w:rFonts w:hint="eastAsia" w:ascii="宋体" w:hAnsi="宋体" w:eastAsia="宋体" w:cs="Times New Roman"/>
                <w:szCs w:val="21"/>
                <w:lang w:val="en-US" w:eastAsia="zh-CN"/>
              </w:rPr>
              <w:t>窄脉宽：≤250μs，爆破力强，碎块化效果好，碎石效率高</w:t>
            </w:r>
          </w:p>
          <w:p w14:paraId="5A372448">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9.</w:t>
            </w:r>
            <w:r>
              <w:rPr>
                <w:rFonts w:hint="eastAsia" w:ascii="宋体" w:hAnsi="宋体" w:eastAsia="宋体" w:cs="Times New Roman"/>
                <w:szCs w:val="21"/>
                <w:lang w:val="en-US" w:eastAsia="zh-CN"/>
              </w:rPr>
              <w:t>宽脉宽：≥700μs，粉末化效果好，散状止血，切割止血同步进行</w:t>
            </w:r>
          </w:p>
          <w:p w14:paraId="64CF609E">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10.</w:t>
            </w:r>
            <w:r>
              <w:rPr>
                <w:rFonts w:hint="eastAsia" w:ascii="宋体" w:hAnsi="宋体" w:eastAsia="宋体" w:cs="Times New Roman"/>
                <w:szCs w:val="21"/>
                <w:lang w:val="en-US" w:eastAsia="zh-CN"/>
              </w:rPr>
              <w:t>具有控制能量稳定功能，使激光能量输出不稳定度：≤±5%</w:t>
            </w:r>
          </w:p>
          <w:p w14:paraId="42FED84B">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11.</w:t>
            </w:r>
            <w:r>
              <w:rPr>
                <w:rFonts w:hint="eastAsia" w:ascii="宋体" w:hAnsi="宋体" w:eastAsia="宋体" w:cs="Times New Roman"/>
                <w:szCs w:val="21"/>
                <w:lang w:val="en-US" w:eastAsia="zh-CN"/>
              </w:rPr>
              <w:t>具有控制能量稳定功能，使激光输出功率的复现性：≤±5%</w:t>
            </w:r>
          </w:p>
          <w:p w14:paraId="7E89934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12.</w:t>
            </w:r>
            <w:r>
              <w:rPr>
                <w:rFonts w:hint="eastAsia" w:ascii="宋体" w:hAnsi="宋体" w:eastAsia="宋体" w:cs="Times New Roman"/>
                <w:szCs w:val="21"/>
                <w:lang w:val="en-US" w:eastAsia="zh-CN"/>
              </w:rPr>
              <w:t>激光耦合效率≥90%</w:t>
            </w:r>
          </w:p>
          <w:p w14:paraId="48D9F447">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13.</w:t>
            </w:r>
            <w:r>
              <w:rPr>
                <w:rFonts w:hint="eastAsia" w:ascii="宋体" w:hAnsi="宋体" w:eastAsia="宋体" w:cs="Times New Roman"/>
                <w:szCs w:val="21"/>
                <w:lang w:val="en-US" w:eastAsia="zh-CN"/>
              </w:rPr>
              <w:t>激光能量传输光纤纤径规格≥5种</w:t>
            </w:r>
          </w:p>
          <w:p w14:paraId="67021DC8">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14.</w:t>
            </w:r>
            <w:r>
              <w:rPr>
                <w:rFonts w:hint="eastAsia" w:ascii="宋体" w:hAnsi="宋体" w:eastAsia="宋体" w:cs="Times New Roman"/>
                <w:szCs w:val="21"/>
                <w:lang w:val="en-US" w:eastAsia="zh-CN"/>
              </w:rPr>
              <w:t>同时包含一次性使用和复用性的激光光纤</w:t>
            </w:r>
          </w:p>
          <w:p w14:paraId="2B9BEE9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15.</w:t>
            </w:r>
            <w:r>
              <w:rPr>
                <w:rFonts w:hint="eastAsia" w:ascii="宋体" w:hAnsi="宋体" w:eastAsia="宋体" w:cs="Times New Roman"/>
                <w:szCs w:val="21"/>
                <w:lang w:val="en-US" w:eastAsia="zh-CN"/>
              </w:rPr>
              <w:t>搭配使用内径为150μm的超细超软光纤做软镜手术，有效传输功率≥30W</w:t>
            </w:r>
          </w:p>
          <w:p w14:paraId="70CEF8FE">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16.</w:t>
            </w:r>
            <w:r>
              <w:rPr>
                <w:rFonts w:hint="eastAsia" w:ascii="宋体" w:hAnsi="宋体" w:eastAsia="宋体" w:cs="Times New Roman"/>
                <w:szCs w:val="21"/>
                <w:lang w:val="en-US" w:eastAsia="zh-CN"/>
              </w:rPr>
              <w:t>搭配使用内径≤200μm的超细超软光纤做软镜手术，有效传输功率≥45W</w:t>
            </w:r>
          </w:p>
          <w:p w14:paraId="552D0935">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17.</w:t>
            </w:r>
            <w:r>
              <w:rPr>
                <w:rFonts w:hint="eastAsia" w:ascii="宋体" w:hAnsi="宋体" w:eastAsia="宋体" w:cs="Times New Roman"/>
                <w:szCs w:val="21"/>
                <w:lang w:val="en-US" w:eastAsia="zh-CN"/>
              </w:rPr>
              <w:t>搭配使用内径≤272μm的软光纤，有效传输功率≥60W</w:t>
            </w:r>
          </w:p>
          <w:p w14:paraId="62EE5BE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18.</w:t>
            </w:r>
            <w:r>
              <w:rPr>
                <w:rFonts w:hint="eastAsia" w:ascii="宋体" w:hAnsi="宋体" w:eastAsia="宋体" w:cs="Times New Roman"/>
                <w:szCs w:val="21"/>
                <w:lang w:val="en-US" w:eastAsia="zh-CN"/>
              </w:rPr>
              <w:t>软光纤最小弯曲半径：200μm光纤≤6mm，272μm光纤≤7mm，光纤弯曲半径小，输尿管软镜弯曲不受影响</w:t>
            </w:r>
          </w:p>
          <w:p w14:paraId="0ABC29F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19.</w:t>
            </w:r>
            <w:r>
              <w:rPr>
                <w:rFonts w:hint="eastAsia" w:ascii="宋体" w:hAnsi="宋体" w:eastAsia="宋体" w:cs="Times New Roman"/>
                <w:szCs w:val="21"/>
                <w:lang w:val="en-US" w:eastAsia="zh-CN"/>
              </w:rPr>
              <w:t>指示光：绿色，波长520±20nm，功率≤5mW，亮度可调节，调节挡位数≥5</w:t>
            </w:r>
          </w:p>
          <w:p w14:paraId="1B15C5B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20.</w:t>
            </w:r>
            <w:r>
              <w:rPr>
                <w:rFonts w:hint="eastAsia" w:ascii="宋体" w:hAnsi="宋体" w:eastAsia="宋体" w:cs="Times New Roman"/>
                <w:szCs w:val="21"/>
                <w:lang w:val="en-US" w:eastAsia="zh-CN"/>
              </w:rPr>
              <w:t>脚踏防水等级：IPX8</w:t>
            </w:r>
          </w:p>
          <w:p w14:paraId="4F75222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21.</w:t>
            </w:r>
            <w:r>
              <w:rPr>
                <w:rFonts w:hint="eastAsia" w:ascii="宋体" w:hAnsi="宋体" w:eastAsia="宋体" w:cs="Times New Roman"/>
                <w:szCs w:val="21"/>
                <w:lang w:val="en-US" w:eastAsia="zh-CN"/>
              </w:rPr>
              <w:t>抗干扰脚踏开光连接线，长度≥5米，减少对其他手术室设备的干扰</w:t>
            </w:r>
          </w:p>
          <w:p w14:paraId="08E978B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22.</w:t>
            </w:r>
            <w:r>
              <w:rPr>
                <w:rFonts w:hint="eastAsia" w:ascii="宋体" w:hAnsi="宋体" w:eastAsia="宋体" w:cs="Times New Roman"/>
                <w:szCs w:val="21"/>
                <w:lang w:val="en-US" w:eastAsia="zh-CN"/>
              </w:rPr>
              <w:t>激光治疗机可靠性高：连续工作≥8小时，功率稳定性高无衰减</w:t>
            </w:r>
          </w:p>
          <w:p w14:paraId="15CFFA1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23.</w:t>
            </w:r>
            <w:r>
              <w:rPr>
                <w:rFonts w:hint="eastAsia" w:ascii="宋体" w:hAnsi="宋体" w:eastAsia="宋体" w:cs="Times New Roman"/>
                <w:szCs w:val="21"/>
                <w:lang w:val="en-US" w:eastAsia="zh-CN"/>
              </w:rPr>
              <w:t>控制方式：全触摸固定式彩色控制屏，具备软镜/硬镜模式选择</w:t>
            </w:r>
          </w:p>
          <w:p w14:paraId="2EF6448B">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24.</w:t>
            </w:r>
            <w:r>
              <w:rPr>
                <w:rFonts w:hint="eastAsia" w:ascii="宋体" w:hAnsi="宋体" w:eastAsia="宋体" w:cs="Times New Roman"/>
                <w:szCs w:val="21"/>
                <w:lang w:val="en-US" w:eastAsia="zh-CN"/>
              </w:rPr>
              <w:t>专家数据库：嵌入式微电脑内置专家数据库</w:t>
            </w:r>
          </w:p>
          <w:p w14:paraId="0F0934A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25.</w:t>
            </w:r>
            <w:r>
              <w:rPr>
                <w:rFonts w:hint="eastAsia" w:ascii="宋体" w:hAnsi="宋体" w:eastAsia="宋体" w:cs="Times New Roman"/>
                <w:szCs w:val="21"/>
                <w:lang w:val="en-US" w:eastAsia="zh-CN"/>
              </w:rPr>
              <w:t>电源：AC220V/50Hz，输入功率≤5KVA，使用常规电源，手术室无需特殊改造.</w:t>
            </w:r>
          </w:p>
          <w:p w14:paraId="77AA9C89">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26.</w:t>
            </w:r>
            <w:r>
              <w:rPr>
                <w:rFonts w:hint="eastAsia" w:ascii="宋体" w:hAnsi="宋体" w:eastAsia="宋体" w:cs="Times New Roman"/>
                <w:szCs w:val="21"/>
                <w:lang w:val="zh-CN" w:eastAsia="zh-CN"/>
              </w:rPr>
              <w:t>冷却系统：内置压缩机制冷</w:t>
            </w:r>
            <w:r>
              <w:rPr>
                <w:rFonts w:hint="eastAsia" w:ascii="宋体" w:hAnsi="宋体" w:eastAsia="宋体" w:cs="Times New Roman"/>
                <w:szCs w:val="21"/>
                <w:lang w:val="en-US" w:eastAsia="zh-CN"/>
              </w:rPr>
              <w:t>，确保性能稳定</w:t>
            </w:r>
          </w:p>
          <w:p w14:paraId="4D9BC9C4">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27.</w:t>
            </w:r>
            <w:r>
              <w:rPr>
                <w:rFonts w:hint="eastAsia" w:ascii="宋体" w:hAnsi="宋体" w:eastAsia="宋体" w:cs="Times New Roman"/>
                <w:szCs w:val="21"/>
                <w:lang w:val="en-US" w:eastAsia="zh-CN"/>
              </w:rPr>
              <w:t>稳定高效的光路设计：激光棒数量≤2个，减少激光器维护成本</w:t>
            </w:r>
          </w:p>
          <w:p w14:paraId="675A309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配置清单</w:t>
            </w:r>
          </w:p>
          <w:p w14:paraId="258C80F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1.Ho:YAG激光治疗机主机  1  台</w:t>
            </w:r>
          </w:p>
          <w:p w14:paraId="30CE400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2.脚踏开关 1 套</w:t>
            </w:r>
          </w:p>
          <w:p w14:paraId="6A8B33C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3.Ho:YAG激光治疗机附件光纤 2 根</w:t>
            </w:r>
          </w:p>
          <w:p w14:paraId="76CEDDA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4.Ho:YAG激光治疗机附件光纤 2 根</w:t>
            </w:r>
          </w:p>
          <w:p w14:paraId="4824FB4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5.光纤剥离器 1 把</w:t>
            </w:r>
          </w:p>
          <w:p w14:paraId="22C950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6.光纤切割笔 1把</w:t>
            </w:r>
          </w:p>
          <w:p w14:paraId="6E61546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7.手持光纤端面检验仪 1 个</w:t>
            </w:r>
          </w:p>
          <w:p w14:paraId="389BD5B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8.激光防护镜 1 副</w:t>
            </w:r>
          </w:p>
          <w:p w14:paraId="53D7FB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9.使用说明书（电子版） 1 份</w:t>
            </w:r>
          </w:p>
          <w:p w14:paraId="74BFD62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 保修卡 1 份</w:t>
            </w:r>
          </w:p>
          <w:p w14:paraId="70A7C68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 合格证 1份</w:t>
            </w:r>
          </w:p>
          <w:p w14:paraId="2ED7498D">
            <w:pPr>
              <w:adjustRightInd w:val="0"/>
              <w:snapToGrid w:val="0"/>
              <w:spacing w:line="360" w:lineRule="exact"/>
              <w:jc w:val="left"/>
              <w:rPr>
                <w:rFonts w:hint="eastAsia" w:ascii="宋体" w:hAnsi="宋体" w:eastAsia="宋体" w:cs="Times New Roman"/>
                <w:szCs w:val="21"/>
              </w:rPr>
            </w:pP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default" w:ascii="仿宋" w:hAnsi="仿宋" w:eastAsia="仿宋" w:cs="宋体"/>
                <w:b/>
                <w:bCs/>
                <w:sz w:val="28"/>
                <w:szCs w:val="28"/>
                <w:lang w:val="en-US"/>
              </w:rPr>
            </w:pPr>
            <w:r>
              <w:rPr>
                <w:rFonts w:hint="eastAsia" w:ascii="仿宋" w:hAnsi="仿宋" w:eastAsia="仿宋" w:cs="宋体"/>
                <w:b/>
                <w:bCs/>
                <w:sz w:val="28"/>
                <w:szCs w:val="28"/>
                <w:lang w:val="en-US" w:eastAsia="zh-CN"/>
              </w:rPr>
              <w:t>普通输尿管镜</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84971B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1.技术参数：</w:t>
            </w:r>
          </w:p>
          <w:p w14:paraId="6E269DE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1.1 镜体外径：8-9.8Fr                   </w:t>
            </w:r>
          </w:p>
          <w:p w14:paraId="23B976E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 有效工作长度：</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425mm</w:t>
            </w:r>
          </w:p>
          <w:p w14:paraId="3435501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1.3 视向角：0°                 </w:t>
            </w:r>
          </w:p>
          <w:p w14:paraId="6F944DE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 1.4 视场角：</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120°</w:t>
            </w:r>
          </w:p>
          <w:p w14:paraId="335855D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 像素：</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16万</w:t>
            </w:r>
          </w:p>
          <w:p w14:paraId="4D4C444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1.6  景深：3~70mm </w:t>
            </w:r>
          </w:p>
          <w:p w14:paraId="34BB58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 有效使用工作通道：</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6.3Fr</w:t>
            </w:r>
          </w:p>
          <w:p w14:paraId="0B3DB89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 视场中心角分辨力</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 xml:space="preserve">1.5C/（°） </w:t>
            </w:r>
          </w:p>
          <w:p w14:paraId="1AFB96D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 信噪比</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36dB</w:t>
            </w:r>
          </w:p>
          <w:p w14:paraId="2910101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1.10 单位相对畸变VU-Z控制量（||）：≧35% </w:t>
            </w:r>
          </w:p>
          <w:p w14:paraId="05D75D6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1.11可耐受低温等离子灭菌</w:t>
            </w:r>
          </w:p>
          <w:p w14:paraId="7E533D8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1.12镜体采用优质不锈钢材料</w:t>
            </w:r>
          </w:p>
          <w:p w14:paraId="42DDFBC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1.13采用电子成像技术，解决输尿管镜图像摩尔纹的现象</w:t>
            </w:r>
          </w:p>
          <w:p w14:paraId="5FC26A4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1.14采用双层密封工艺技术</w:t>
            </w:r>
          </w:p>
          <w:p w14:paraId="59C2131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1.15采用激光焊接工艺技术</w:t>
            </w:r>
          </w:p>
          <w:p w14:paraId="79D05B4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2.配置清单</w:t>
            </w:r>
          </w:p>
          <w:p w14:paraId="4387984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2.1硬性输尿管电子内窥镜1支</w:t>
            </w:r>
          </w:p>
          <w:p w14:paraId="220247C5">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2.2接门2个</w:t>
            </w:r>
          </w:p>
          <w:p w14:paraId="1B735D73">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2.3防水帽1个</w:t>
            </w:r>
          </w:p>
          <w:p w14:paraId="6DA70BB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2.4密封帽1个</w:t>
            </w:r>
          </w:p>
          <w:p w14:paraId="05B96C0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2.5消毒网篮1个</w:t>
            </w:r>
          </w:p>
          <w:p w14:paraId="3CF67635">
            <w:pPr>
              <w:adjustRightInd w:val="0"/>
              <w:snapToGrid w:val="0"/>
              <w:spacing w:line="360" w:lineRule="exact"/>
              <w:jc w:val="left"/>
              <w:rPr>
                <w:rFonts w:hint="eastAsia" w:ascii="宋体" w:hAnsi="宋体" w:eastAsia="宋体" w:cs="Times New Roman"/>
                <w:szCs w:val="21"/>
                <w:lang w:val="en-US" w:eastAsia="zh-CN"/>
              </w:rPr>
            </w:pP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lang w:val="en-US" w:eastAsia="zh-CN"/>
              </w:rPr>
              <w:t>1套</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w:t>
            </w:r>
            <w:r>
              <w:rPr>
                <w:rFonts w:hint="eastAsia" w:ascii="宋体" w:hAnsi="宋体"/>
                <w:szCs w:val="21"/>
                <w:lang w:val="en-US" w:eastAsia="zh-CN"/>
              </w:rPr>
              <w:t>修3</w:t>
            </w:r>
            <w:r>
              <w:rPr>
                <w:rFonts w:hint="eastAsia" w:ascii="宋体" w:hAnsi="宋体"/>
                <w:szCs w:val="21"/>
              </w:rPr>
              <w:t>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w:t>
            </w:r>
            <w:bookmarkStart w:id="0" w:name="_GoBack"/>
            <w:bookmarkEnd w:id="0"/>
            <w:r>
              <w:rPr>
                <w:rFonts w:hint="eastAsia" w:ascii="宋体" w:hAnsi="宋体"/>
                <w:szCs w:val="21"/>
              </w:rPr>
              <w:t>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三人共揽显微镜</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738505EF">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0CC4529"/>
    <w:rsid w:val="276F292B"/>
    <w:rsid w:val="2F957AD6"/>
    <w:rsid w:val="459E49A6"/>
    <w:rsid w:val="63AE518E"/>
    <w:rsid w:val="6911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00" w:lineRule="exact"/>
      <w:ind w:firstLine="200" w:firstLineChars="200"/>
    </w:pPr>
    <w:rPr>
      <w:rFonts w:eastAsia="仿宋_GB2312"/>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2070</Words>
  <Characters>2260</Characters>
  <Lines>0</Lines>
  <Paragraphs>0</Paragraphs>
  <TotalTime>1</TotalTime>
  <ScaleCrop>false</ScaleCrop>
  <LinksUpToDate>false</LinksUpToDate>
  <CharactersWithSpaces>2286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2025-07-15T10:15:53Z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